
<file path=[Content_Types].xml><?xml version="1.0" encoding="utf-8"?>
<Types xmlns="http://schemas.openxmlformats.org/package/2006/content-types">
  <Default Extension="xml" ContentType="application/xml"/>
  <Default Extension="jpeg" ContentType="image/jpeg"/>
  <Default Extension="xlsx" ContentType="application/vnd.openxmlformats-officedocument.spreadsheetml.sheet"/>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21A" w:rsidRDefault="0079121A" w:rsidP="0079121A">
      <w:pPr>
        <w:pStyle w:val="ResourceNo"/>
      </w:pPr>
      <w:bookmarkStart w:id="0" w:name="_GoBack"/>
      <w:r w:rsidRPr="00CC58E3">
        <w:t xml:space="preserve">Student Resource </w:t>
      </w:r>
      <w:r>
        <w:t>9.5</w:t>
      </w:r>
    </w:p>
    <w:p w:rsidR="0079121A" w:rsidRPr="00AE66B7" w:rsidRDefault="0079121A" w:rsidP="0079121A">
      <w:pPr>
        <w:pStyle w:val="ResourceTitle"/>
      </w:pPr>
      <w:r>
        <w:t>Stations</w:t>
      </w:r>
      <w:r w:rsidRPr="00AE66B7">
        <w:t xml:space="preserve">: Online Obesity </w:t>
      </w:r>
    </w:p>
    <w:bookmarkEnd w:id="0"/>
    <w:p w:rsidR="0079121A" w:rsidRPr="00AE66B7" w:rsidRDefault="0079121A" w:rsidP="0079121A">
      <w:pPr>
        <w:pStyle w:val="Instructions"/>
      </w:pPr>
      <w:r w:rsidRPr="00AE66B7">
        <w:t>Student Names</w:t>
      </w:r>
      <w:proofErr w:type="gramStart"/>
      <w:r w:rsidRPr="00AE66B7">
        <w:t>:_</w:t>
      </w:r>
      <w:proofErr w:type="gramEnd"/>
      <w:r w:rsidRPr="00AE66B7">
        <w:t>______________________________________________________ Date:___________</w:t>
      </w:r>
    </w:p>
    <w:p w:rsidR="0079121A" w:rsidRPr="00CC58E3" w:rsidRDefault="0079121A" w:rsidP="0079121A">
      <w:pPr>
        <w:pStyle w:val="Instructions"/>
      </w:pPr>
      <w:r w:rsidRPr="00AE66B7">
        <w:t xml:space="preserve">Directions: </w:t>
      </w:r>
      <w:r>
        <w:t>F</w:t>
      </w:r>
      <w:r w:rsidRPr="00AE66B7">
        <w:t xml:space="preserve">ollow the directions on this </w:t>
      </w:r>
      <w:r>
        <w:t>resource</w:t>
      </w:r>
      <w:r w:rsidRPr="00AE66B7">
        <w:t xml:space="preserve"> to complete the activities for each station</w:t>
      </w:r>
      <w:r>
        <w:t xml:space="preserve"> your teacher has set up</w:t>
      </w:r>
      <w:r w:rsidRPr="00AE66B7">
        <w:t>.</w:t>
      </w:r>
    </w:p>
    <w:p w:rsidR="0079121A" w:rsidRPr="00CC58E3" w:rsidRDefault="0079121A" w:rsidP="0079121A">
      <w:pPr>
        <w:pStyle w:val="H1"/>
      </w:pPr>
      <w:r>
        <w:t>Station 1: Calculating BMI</w:t>
      </w:r>
    </w:p>
    <w:p w:rsidR="0079121A" w:rsidRDefault="0079121A" w:rsidP="0079121A">
      <w:pPr>
        <w:pStyle w:val="BodyText"/>
      </w:pPr>
      <w:r w:rsidRPr="00EF69C1">
        <w:t xml:space="preserve">The medical standard for determining if a person is obese is to measure </w:t>
      </w:r>
      <w:r>
        <w:t>the person’s</w:t>
      </w:r>
      <w:r w:rsidRPr="00EF69C1">
        <w:t xml:space="preserve"> </w:t>
      </w:r>
      <w:r>
        <w:t>b</w:t>
      </w:r>
      <w:r w:rsidRPr="00EF69C1">
        <w:t xml:space="preserve">ody </w:t>
      </w:r>
      <w:r>
        <w:t>m</w:t>
      </w:r>
      <w:r w:rsidRPr="00EF69C1">
        <w:t xml:space="preserve">ass </w:t>
      </w:r>
      <w:r>
        <w:t>i</w:t>
      </w:r>
      <w:r w:rsidRPr="00EF69C1">
        <w:t>ndex</w:t>
      </w:r>
      <w:r>
        <w:t xml:space="preserve"> (BMI)</w:t>
      </w:r>
      <w:r w:rsidRPr="00EF69C1">
        <w:t xml:space="preserve">. It’s a measurement of body fat based on height and weight. The </w:t>
      </w:r>
      <w:proofErr w:type="gramStart"/>
      <w:r w:rsidRPr="00EF69C1">
        <w:t>criteria used to measure obesity in children and teens is</w:t>
      </w:r>
      <w:proofErr w:type="gramEnd"/>
      <w:r w:rsidRPr="00EF69C1">
        <w:t xml:space="preserve"> different </w:t>
      </w:r>
      <w:r>
        <w:t>from the criteria used for</w:t>
      </w:r>
      <w:r w:rsidRPr="00EF69C1">
        <w:t xml:space="preserve"> adults.</w:t>
      </w:r>
      <w:r>
        <w:t xml:space="preserve"> In this exercise, you will first learn to measure the BMI of adults and then you will use an online calculator to measure the BMI of teens.</w:t>
      </w:r>
    </w:p>
    <w:p w:rsidR="0079121A" w:rsidRDefault="0079121A" w:rsidP="0079121A">
      <w:pPr>
        <w:pStyle w:val="BodyText"/>
        <w:rPr>
          <w:b/>
        </w:rPr>
      </w:pPr>
    </w:p>
    <w:p w:rsidR="0079121A" w:rsidRDefault="0079121A" w:rsidP="0079121A">
      <w:pPr>
        <w:pStyle w:val="BodyText"/>
        <w:rPr>
          <w:b/>
        </w:rPr>
      </w:pPr>
      <w:r w:rsidRPr="00B67CBE">
        <w:rPr>
          <w:b/>
        </w:rPr>
        <w:t>BMI Categories for Adults</w:t>
      </w:r>
    </w:p>
    <w:p w:rsidR="0079121A" w:rsidRDefault="0079121A" w:rsidP="0079121A">
      <w:pPr>
        <w:pStyle w:val="BodyText"/>
      </w:pPr>
      <w:r w:rsidRPr="00EF69C1">
        <w:t>Underweight: less than 18.5</w:t>
      </w:r>
    </w:p>
    <w:p w:rsidR="0079121A" w:rsidRDefault="0079121A" w:rsidP="0079121A">
      <w:pPr>
        <w:pStyle w:val="BodyText"/>
      </w:pPr>
      <w:r w:rsidRPr="00EF69C1">
        <w:t>Normal weight: 18.5</w:t>
      </w:r>
      <w:r>
        <w:t>–</w:t>
      </w:r>
      <w:r w:rsidRPr="00EF69C1">
        <w:t>24.9</w:t>
      </w:r>
    </w:p>
    <w:p w:rsidR="0079121A" w:rsidRDefault="0079121A" w:rsidP="0079121A">
      <w:pPr>
        <w:pStyle w:val="BodyText"/>
      </w:pPr>
      <w:r w:rsidRPr="00EF69C1">
        <w:t>Overweight: 25</w:t>
      </w:r>
      <w:r>
        <w:t>–</w:t>
      </w:r>
      <w:r w:rsidRPr="00EF69C1">
        <w:t>29.9</w:t>
      </w:r>
    </w:p>
    <w:p w:rsidR="0079121A" w:rsidRDefault="0079121A" w:rsidP="0079121A">
      <w:pPr>
        <w:pStyle w:val="BodyText"/>
      </w:pPr>
      <w:r w:rsidRPr="003823C0">
        <w:t xml:space="preserve">Obese: </w:t>
      </w:r>
      <w:r w:rsidRPr="00CE00FF">
        <w:t>30 or greater</w:t>
      </w:r>
    </w:p>
    <w:p w:rsidR="0079121A" w:rsidRDefault="0079121A" w:rsidP="0079121A"/>
    <w:p w:rsidR="0079121A" w:rsidRDefault="0079121A" w:rsidP="0079121A">
      <w:pPr>
        <w:pStyle w:val="BodyText"/>
        <w:rPr>
          <w:b/>
        </w:rPr>
      </w:pPr>
      <w:r w:rsidRPr="00735EC7">
        <w:rPr>
          <w:b/>
        </w:rPr>
        <w:t>How to Measure BMI for Adults</w:t>
      </w:r>
    </w:p>
    <w:p w:rsidR="0079121A" w:rsidRDefault="0079121A" w:rsidP="0079121A">
      <w:pPr>
        <w:pStyle w:val="BodyText"/>
      </w:pPr>
      <w:r w:rsidRPr="00EF69C1">
        <w:t>1.</w:t>
      </w:r>
      <w:r>
        <w:t xml:space="preserve"> </w:t>
      </w:r>
      <w:r w:rsidRPr="00EF69C1">
        <w:t>Divide weight in pounds (lbs</w:t>
      </w:r>
      <w:r>
        <w:t>.</w:t>
      </w:r>
      <w:r w:rsidRPr="00EF69C1">
        <w:t>) by height in inches squared</w:t>
      </w:r>
      <w:r>
        <w:t>.</w:t>
      </w:r>
    </w:p>
    <w:p w:rsidR="0079121A" w:rsidRDefault="0079121A" w:rsidP="0079121A">
      <w:pPr>
        <w:pStyle w:val="BodyText"/>
      </w:pPr>
      <w:r w:rsidRPr="003823C0">
        <w:t>2.</w:t>
      </w:r>
      <w:r>
        <w:t xml:space="preserve"> </w:t>
      </w:r>
      <w:r w:rsidRPr="003823C0">
        <w:t xml:space="preserve">Multiply </w:t>
      </w:r>
      <w:r w:rsidRPr="00CE00FF">
        <w:t>by a conversion factor of 703.</w:t>
      </w:r>
    </w:p>
    <w:p w:rsidR="0079121A" w:rsidRDefault="0079121A" w:rsidP="0079121A">
      <w:pPr>
        <w:pStyle w:val="BodyText"/>
      </w:pPr>
    </w:p>
    <w:p w:rsidR="0079121A" w:rsidRDefault="0079121A" w:rsidP="0079121A">
      <w:pPr>
        <w:pStyle w:val="BodyText"/>
      </w:pPr>
      <w:r w:rsidRPr="003823C0">
        <w:t xml:space="preserve">Here’s </w:t>
      </w:r>
      <w:r w:rsidRPr="00CE00FF">
        <w:t>an example:</w:t>
      </w:r>
    </w:p>
    <w:p w:rsidR="0079121A" w:rsidRDefault="0079121A" w:rsidP="0079121A">
      <w:pPr>
        <w:pStyle w:val="BL"/>
      </w:pPr>
      <w:r w:rsidRPr="003823C0">
        <w:t xml:space="preserve">Weight </w:t>
      </w:r>
      <w:r w:rsidRPr="00CE00FF">
        <w:t>= 150 lbs</w:t>
      </w:r>
      <w:r>
        <w:t>.</w:t>
      </w:r>
    </w:p>
    <w:p w:rsidR="0079121A" w:rsidRDefault="0079121A" w:rsidP="0079121A">
      <w:pPr>
        <w:pStyle w:val="BL"/>
      </w:pPr>
      <w:r w:rsidRPr="003823C0">
        <w:t xml:space="preserve">Height </w:t>
      </w:r>
      <w:r w:rsidRPr="00CE00FF">
        <w:t>= 5</w:t>
      </w:r>
      <w:r>
        <w:t>'</w:t>
      </w:r>
      <w:r w:rsidRPr="00CE00FF">
        <w:t>5</w:t>
      </w:r>
      <w:r>
        <w:t>"</w:t>
      </w:r>
      <w:r w:rsidRPr="00CE00FF">
        <w:t xml:space="preserve"> (65</w:t>
      </w:r>
      <w:r>
        <w:t>"</w:t>
      </w:r>
      <w:r w:rsidRPr="00CE00FF">
        <w:t>)</w:t>
      </w:r>
    </w:p>
    <w:p w:rsidR="0079121A" w:rsidRDefault="0079121A" w:rsidP="0079121A">
      <w:pPr>
        <w:pStyle w:val="BL"/>
      </w:pPr>
      <w:r w:rsidRPr="003823C0">
        <w:t xml:space="preserve">Calculation: </w:t>
      </w:r>
      <w:r w:rsidRPr="00CE00FF">
        <w:t>[150 / 65</w:t>
      </w:r>
      <w:r w:rsidRPr="00F414CD">
        <w:rPr>
          <w:vertAlign w:val="superscript"/>
        </w:rPr>
        <w:t>2</w:t>
      </w:r>
      <w:r w:rsidRPr="00EF69C1">
        <w:t xml:space="preserve">] </w:t>
      </w:r>
      <w:r>
        <w:t>x</w:t>
      </w:r>
      <w:r w:rsidRPr="00EF69C1">
        <w:t xml:space="preserve"> 703 = 24.96</w:t>
      </w:r>
    </w:p>
    <w:p w:rsidR="0079121A" w:rsidRDefault="0079121A" w:rsidP="0079121A">
      <w:pPr>
        <w:pStyle w:val="BodyText"/>
      </w:pPr>
      <w:r w:rsidRPr="00EF69C1">
        <w:t>With a BMI of 24.96, this person has normal weight.</w:t>
      </w:r>
    </w:p>
    <w:p w:rsidR="0079121A" w:rsidRDefault="0079121A" w:rsidP="0079121A">
      <w:pPr>
        <w:pStyle w:val="BodyText"/>
        <w:rPr>
          <w:b/>
        </w:rPr>
      </w:pPr>
    </w:p>
    <w:p w:rsidR="0079121A" w:rsidRDefault="0079121A" w:rsidP="0079121A">
      <w:pPr>
        <w:pStyle w:val="BodyText"/>
      </w:pPr>
      <w:r w:rsidRPr="001346D3">
        <w:rPr>
          <w:b/>
        </w:rPr>
        <w:t>Calculate the BMI for the following adults. You may use a calculator. Record your answers in the space provided below.</w:t>
      </w:r>
    </w:p>
    <w:p w:rsidR="0079121A" w:rsidRDefault="0079121A" w:rsidP="0079121A">
      <w:pPr>
        <w:pStyle w:val="BodyText"/>
        <w:numPr>
          <w:ilvl w:val="0"/>
          <w:numId w:val="3"/>
        </w:numPr>
      </w:pPr>
      <w:r>
        <w:t>A woman who weighs 125 lbs. and is 5'2"</w:t>
      </w:r>
    </w:p>
    <w:p w:rsidR="0079121A" w:rsidRDefault="0079121A" w:rsidP="0079121A">
      <w:pPr>
        <w:pStyle w:val="BodyText"/>
        <w:ind w:left="720"/>
      </w:pPr>
      <w:r>
        <w:t>BMI:</w:t>
      </w:r>
    </w:p>
    <w:p w:rsidR="0079121A" w:rsidRDefault="0079121A" w:rsidP="0079121A">
      <w:pPr>
        <w:pStyle w:val="BodyText"/>
        <w:ind w:left="720"/>
      </w:pPr>
      <w:r>
        <w:t>Is the woman underweight, normal weight, overweight, or obese?</w:t>
      </w:r>
    </w:p>
    <w:p w:rsidR="0079121A" w:rsidRDefault="0079121A" w:rsidP="0079121A">
      <w:pPr>
        <w:pStyle w:val="BodyText"/>
        <w:numPr>
          <w:ilvl w:val="0"/>
          <w:numId w:val="3"/>
        </w:numPr>
      </w:pPr>
      <w:r>
        <w:t>A man who weighs 296 lbs. and is 5'11"</w:t>
      </w:r>
    </w:p>
    <w:p w:rsidR="0079121A" w:rsidRDefault="0079121A" w:rsidP="0079121A">
      <w:pPr>
        <w:pStyle w:val="BodyText"/>
        <w:ind w:left="720"/>
      </w:pPr>
      <w:r>
        <w:lastRenderedPageBreak/>
        <w:t>BMI:</w:t>
      </w:r>
    </w:p>
    <w:p w:rsidR="0079121A" w:rsidRDefault="0079121A" w:rsidP="0079121A">
      <w:pPr>
        <w:pStyle w:val="BodyText"/>
        <w:ind w:left="720"/>
      </w:pPr>
      <w:r>
        <w:t>Is the man underweight, normal weight, overweight, or obese?</w:t>
      </w:r>
    </w:p>
    <w:p w:rsidR="0079121A" w:rsidRPr="001346D3" w:rsidRDefault="0079121A" w:rsidP="0079121A">
      <w:pPr>
        <w:pStyle w:val="BodyText"/>
        <w:rPr>
          <w:b/>
        </w:rPr>
      </w:pPr>
      <w:r w:rsidRPr="001346D3">
        <w:rPr>
          <w:b/>
        </w:rPr>
        <w:t>Calculating BMI for Teens</w:t>
      </w:r>
    </w:p>
    <w:p w:rsidR="0079121A" w:rsidRDefault="0079121A" w:rsidP="0079121A">
      <w:pPr>
        <w:pStyle w:val="BodyText"/>
      </w:pPr>
      <w:r>
        <w:t xml:space="preserve">Go to the BMI percentile calculator for teens and children on this page: </w:t>
      </w:r>
      <w:hyperlink r:id="rId6" w:history="1">
        <w:r w:rsidRPr="006E14B0">
          <w:rPr>
            <w:rStyle w:val="Hyperlink"/>
          </w:rPr>
          <w:t>http://apps.nccd.cdc.gov/dnpabmi/</w:t>
        </w:r>
      </w:hyperlink>
      <w:r>
        <w:t>. Use the information below to determine if this teen is overweight or obese. Use today’s date for the date of measurement. One measurement the calculator will give you is a percentile. The percentile shows how the teen’s weight compares with other teens of the same age and sex. For example, if the percentile is 23%, that means that the teen’s weight is greater than 23% of other teens of the same age and sex. Record your answers in the space provided below.</w:t>
      </w:r>
    </w:p>
    <w:p w:rsidR="0079121A" w:rsidRPr="00D170A9" w:rsidRDefault="0079121A" w:rsidP="0079121A">
      <w:pPr>
        <w:pStyle w:val="BodyText"/>
      </w:pPr>
      <w:r w:rsidRPr="00D170A9">
        <w:t>Sex: Female</w:t>
      </w:r>
    </w:p>
    <w:p w:rsidR="0079121A" w:rsidRPr="00D170A9" w:rsidRDefault="0079121A" w:rsidP="0079121A">
      <w:pPr>
        <w:pStyle w:val="BodyText"/>
      </w:pPr>
      <w:r w:rsidRPr="00D170A9">
        <w:t>Date of birth: May 2, 1998</w:t>
      </w:r>
    </w:p>
    <w:p w:rsidR="0079121A" w:rsidRDefault="0079121A" w:rsidP="0079121A">
      <w:pPr>
        <w:pStyle w:val="BodyText"/>
      </w:pPr>
      <w:r>
        <w:t xml:space="preserve">Height: 5'4" </w:t>
      </w:r>
    </w:p>
    <w:p w:rsidR="0079121A" w:rsidRDefault="0079121A" w:rsidP="0079121A">
      <w:pPr>
        <w:pStyle w:val="BodyText"/>
      </w:pPr>
      <w:r>
        <w:t>Weight: 140 lbs.</w:t>
      </w:r>
    </w:p>
    <w:p w:rsidR="0079121A" w:rsidRDefault="0079121A" w:rsidP="0079121A">
      <w:pPr>
        <w:pStyle w:val="BodyText"/>
      </w:pPr>
      <w:r>
        <w:t>BMI:</w:t>
      </w:r>
    </w:p>
    <w:p w:rsidR="0079121A" w:rsidRDefault="0079121A" w:rsidP="0079121A">
      <w:pPr>
        <w:pStyle w:val="BodyText"/>
      </w:pPr>
      <w:r>
        <w:t>Percentile:</w:t>
      </w:r>
    </w:p>
    <w:p w:rsidR="0079121A" w:rsidRDefault="0079121A" w:rsidP="0079121A">
      <w:pPr>
        <w:pStyle w:val="BodyText"/>
      </w:pPr>
      <w:r>
        <w:t>Is the teen underweight, normal weight, overweight, or obese?</w:t>
      </w:r>
    </w:p>
    <w:p w:rsidR="0079121A" w:rsidRDefault="0079121A" w:rsidP="0079121A">
      <w:pPr>
        <w:pStyle w:val="BodyText"/>
      </w:pPr>
    </w:p>
    <w:p w:rsidR="0079121A" w:rsidRDefault="0079121A" w:rsidP="0079121A">
      <w:pPr>
        <w:pStyle w:val="BodyText"/>
      </w:pPr>
    </w:p>
    <w:p w:rsidR="0079121A" w:rsidRPr="00CC58E3" w:rsidRDefault="0079121A" w:rsidP="0079121A">
      <w:pPr>
        <w:pStyle w:val="BodyText"/>
      </w:pPr>
      <w:r>
        <w:br w:type="page"/>
      </w:r>
    </w:p>
    <w:p w:rsidR="0079121A" w:rsidRPr="00CC58E3" w:rsidRDefault="0079121A" w:rsidP="0079121A">
      <w:pPr>
        <w:pStyle w:val="H1"/>
      </w:pPr>
      <w:r>
        <w:t>Station 2: Tracking Obesity</w:t>
      </w:r>
    </w:p>
    <w:p w:rsidR="0079121A" w:rsidRDefault="0079121A" w:rsidP="0079121A">
      <w:pPr>
        <w:pStyle w:val="BodyText"/>
      </w:pPr>
      <w:r>
        <w:t xml:space="preserve">Is it true that the prevalence of obesity has skyrocketed over the past 25 years? Follow the instructions below to create graphs that track obesity and give you a visual answer to this question. </w:t>
      </w:r>
    </w:p>
    <w:p w:rsidR="0079121A" w:rsidRDefault="0079121A" w:rsidP="0079121A">
      <w:pPr>
        <w:pStyle w:val="Numbered"/>
      </w:pPr>
      <w:r w:rsidRPr="00B67CBE">
        <w:t>Go to “</w:t>
      </w:r>
      <w:r>
        <w:t>Overweight and</w:t>
      </w:r>
      <w:r w:rsidRPr="00B67CBE">
        <w:t xml:space="preserve"> Obesity” at </w:t>
      </w:r>
      <w:hyperlink r:id="rId7" w:history="1">
        <w:r w:rsidRPr="002204F2">
          <w:rPr>
            <w:rStyle w:val="Hyperlink"/>
          </w:rPr>
          <w:t>http://www.cdc.gov/obesity/data/trends.html</w:t>
        </w:r>
      </w:hyperlink>
      <w:r w:rsidRPr="00B67CBE">
        <w:t xml:space="preserve">. </w:t>
      </w:r>
      <w:r>
        <w:t xml:space="preserve">Scroll down to the interactive map “The History of State Obesity Prevalence.” </w:t>
      </w:r>
      <w:r w:rsidRPr="00B67CBE">
        <w:t>The map shows how the percentage of ob</w:t>
      </w:r>
      <w:r>
        <w:t xml:space="preserve">ese adults has changed between </w:t>
      </w:r>
      <w:r w:rsidRPr="00B67CBE">
        <w:t>19</w:t>
      </w:r>
      <w:r>
        <w:t>85</w:t>
      </w:r>
      <w:r w:rsidRPr="00B67CBE">
        <w:t xml:space="preserve"> and 2010 in each state.</w:t>
      </w:r>
    </w:p>
    <w:p w:rsidR="0079121A" w:rsidRDefault="0079121A" w:rsidP="0079121A">
      <w:pPr>
        <w:pStyle w:val="Numbered"/>
      </w:pPr>
      <w:r w:rsidRPr="00B67CBE">
        <w:t xml:space="preserve">Find your state on the map. </w:t>
      </w:r>
      <w:r>
        <w:t>Then use</w:t>
      </w:r>
      <w:r w:rsidRPr="00B67CBE">
        <w:t xml:space="preserve"> the “previous” and “next” buttons at the top of the map</w:t>
      </w:r>
      <w:r>
        <w:t xml:space="preserve"> to </w:t>
      </w:r>
      <w:r w:rsidRPr="00B67CBE">
        <w:t xml:space="preserve">look at what the percentage of obese adults in your state was for the following years: 1985, 1990, 1995, 2000, 2005, and 2010. Take note of the percentages </w:t>
      </w:r>
      <w:r>
        <w:t>below:</w:t>
      </w:r>
    </w:p>
    <w:tbl>
      <w:tblPr>
        <w:tblStyle w:val="TableGrid"/>
        <w:tblW w:w="0" w:type="auto"/>
        <w:tblInd w:w="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29"/>
        <w:gridCol w:w="4189"/>
      </w:tblGrid>
      <w:tr w:rsidR="0079121A" w:rsidTr="00BD306C">
        <w:tc>
          <w:tcPr>
            <w:tcW w:w="4050" w:type="dxa"/>
          </w:tcPr>
          <w:p w:rsidR="0079121A" w:rsidRDefault="0079121A" w:rsidP="00BD306C">
            <w:pPr>
              <w:pStyle w:val="TableText"/>
            </w:pPr>
            <w:r>
              <w:t>1985:</w:t>
            </w:r>
          </w:p>
          <w:p w:rsidR="0079121A" w:rsidRDefault="0079121A" w:rsidP="00BD306C">
            <w:pPr>
              <w:pStyle w:val="TableText"/>
            </w:pPr>
            <w:r>
              <w:t>1990:</w:t>
            </w:r>
          </w:p>
          <w:p w:rsidR="0079121A" w:rsidRDefault="0079121A" w:rsidP="00BD306C">
            <w:pPr>
              <w:pStyle w:val="TableText"/>
            </w:pPr>
            <w:r>
              <w:t>1995:</w:t>
            </w:r>
          </w:p>
        </w:tc>
        <w:tc>
          <w:tcPr>
            <w:tcW w:w="4320" w:type="dxa"/>
          </w:tcPr>
          <w:p w:rsidR="0079121A" w:rsidRPr="000A7101" w:rsidRDefault="0079121A" w:rsidP="00BD306C">
            <w:pPr>
              <w:pStyle w:val="TableText"/>
            </w:pPr>
            <w:r w:rsidRPr="000A7101">
              <w:t>2000:</w:t>
            </w:r>
          </w:p>
          <w:p w:rsidR="0079121A" w:rsidRPr="000A7101" w:rsidRDefault="0079121A" w:rsidP="00BD306C">
            <w:pPr>
              <w:pStyle w:val="TableText"/>
            </w:pPr>
            <w:r w:rsidRPr="000A7101">
              <w:t>2005:</w:t>
            </w:r>
          </w:p>
          <w:p w:rsidR="0079121A" w:rsidRDefault="0079121A" w:rsidP="00BD306C">
            <w:pPr>
              <w:pStyle w:val="TableText"/>
            </w:pPr>
            <w:r w:rsidRPr="000A7101">
              <w:t>2010:</w:t>
            </w:r>
          </w:p>
        </w:tc>
      </w:tr>
    </w:tbl>
    <w:p w:rsidR="0079121A" w:rsidRDefault="0079121A" w:rsidP="0079121A">
      <w:pPr>
        <w:pStyle w:val="Numbered"/>
      </w:pPr>
      <w:r w:rsidRPr="00B67CBE">
        <w:t>Choose another state, and repeat the exercise you did in Step 2.</w:t>
      </w:r>
    </w:p>
    <w:tbl>
      <w:tblPr>
        <w:tblStyle w:val="TableGrid"/>
        <w:tblW w:w="0" w:type="auto"/>
        <w:tblInd w:w="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29"/>
        <w:gridCol w:w="4189"/>
      </w:tblGrid>
      <w:tr w:rsidR="0079121A" w:rsidTr="00BD306C">
        <w:tc>
          <w:tcPr>
            <w:tcW w:w="4050" w:type="dxa"/>
          </w:tcPr>
          <w:p w:rsidR="0079121A" w:rsidRDefault="0079121A" w:rsidP="00BD306C">
            <w:pPr>
              <w:pStyle w:val="TableText"/>
            </w:pPr>
            <w:r>
              <w:t>1985:</w:t>
            </w:r>
          </w:p>
          <w:p w:rsidR="0079121A" w:rsidRDefault="0079121A" w:rsidP="00BD306C">
            <w:pPr>
              <w:pStyle w:val="TableText"/>
            </w:pPr>
            <w:r>
              <w:t>1990:</w:t>
            </w:r>
          </w:p>
          <w:p w:rsidR="0079121A" w:rsidRDefault="0079121A" w:rsidP="00BD306C">
            <w:pPr>
              <w:pStyle w:val="TableText"/>
            </w:pPr>
            <w:r>
              <w:t>1995:</w:t>
            </w:r>
          </w:p>
        </w:tc>
        <w:tc>
          <w:tcPr>
            <w:tcW w:w="4320" w:type="dxa"/>
          </w:tcPr>
          <w:p w:rsidR="0079121A" w:rsidRPr="000A7101" w:rsidRDefault="0079121A" w:rsidP="00BD306C">
            <w:pPr>
              <w:pStyle w:val="TableText"/>
            </w:pPr>
            <w:r w:rsidRPr="000A7101">
              <w:t>2000:</w:t>
            </w:r>
          </w:p>
          <w:p w:rsidR="0079121A" w:rsidRPr="000A7101" w:rsidRDefault="0079121A" w:rsidP="00BD306C">
            <w:pPr>
              <w:pStyle w:val="TableText"/>
            </w:pPr>
            <w:r w:rsidRPr="000A7101">
              <w:t>2005:</w:t>
            </w:r>
          </w:p>
          <w:p w:rsidR="0079121A" w:rsidRDefault="0079121A" w:rsidP="00BD306C">
            <w:pPr>
              <w:pStyle w:val="TableText"/>
            </w:pPr>
            <w:r w:rsidRPr="000A7101">
              <w:t>2010:</w:t>
            </w:r>
          </w:p>
        </w:tc>
      </w:tr>
    </w:tbl>
    <w:p w:rsidR="0079121A" w:rsidRDefault="0079121A" w:rsidP="0079121A">
      <w:pPr>
        <w:pStyle w:val="Numbered"/>
      </w:pPr>
      <w:r w:rsidRPr="00B67CBE">
        <w:t xml:space="preserve">Now </w:t>
      </w:r>
      <w:r>
        <w:t>fill in the bar graph below to</w:t>
      </w:r>
      <w:r w:rsidRPr="00B67CBE">
        <w:t xml:space="preserve"> show how the percentage of obese adults in </w:t>
      </w:r>
      <w:r>
        <w:t xml:space="preserve">your state and the other state </w:t>
      </w:r>
      <w:r w:rsidRPr="00B67CBE">
        <w:t>you collected data for has changed between 1985 and 2010.</w:t>
      </w:r>
      <w:r>
        <w:t xml:space="preserve"> Use different colors of ink to distinguish between the two states, and fill in the legend with the color you use for each state. </w:t>
      </w:r>
      <w:r>
        <w:br/>
      </w:r>
    </w:p>
    <w:p w:rsidR="0079121A" w:rsidRPr="000F4DD6" w:rsidRDefault="0079121A" w:rsidP="0079121A">
      <w:pPr>
        <w:spacing w:after="0" w:line="240" w:lineRule="auto"/>
      </w:pPr>
      <w:r>
        <w:rPr>
          <w:noProof/>
        </w:rPr>
        <w:drawing>
          <wp:inline distT="0" distB="0" distL="0" distR="0" wp14:anchorId="407E14B2" wp14:editId="3FECC0EA">
            <wp:extent cx="6105525" cy="3486150"/>
            <wp:effectExtent l="0" t="0" r="9525"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br w:type="page"/>
      </w:r>
    </w:p>
    <w:p w:rsidR="0079121A" w:rsidRDefault="0079121A" w:rsidP="0079121A">
      <w:pPr>
        <w:pStyle w:val="H1"/>
      </w:pPr>
      <w:r>
        <w:t>Station 3: Obesity around the Globe</w:t>
      </w:r>
    </w:p>
    <w:p w:rsidR="0079121A" w:rsidRDefault="0079121A" w:rsidP="0079121A">
      <w:pPr>
        <w:pStyle w:val="BodyText"/>
      </w:pPr>
      <w:r>
        <w:t xml:space="preserve">Obesity is not a problem in the United States alone. Mexico and the United Kingdom have obesity rates that are also dangerously high. Study the map on this web page to get an idea of obesity around the world: </w:t>
      </w:r>
      <w:hyperlink r:id="rId9" w:history="1">
        <w:r w:rsidRPr="006E14B0">
          <w:rPr>
            <w:rStyle w:val="Hyperlink"/>
          </w:rPr>
          <w:t>http://tiny.cc/Global_WHO_Obesity</w:t>
        </w:r>
      </w:hyperlink>
      <w:r>
        <w:t xml:space="preserve">. The map shows the estimated overweight and obesity prevalence in males aged 15 and older in 2010. Use the map to answer the questions below. </w:t>
      </w:r>
    </w:p>
    <w:p w:rsidR="0079121A" w:rsidRDefault="0079121A" w:rsidP="0079121A">
      <w:pPr>
        <w:pStyle w:val="Numbered"/>
        <w:numPr>
          <w:ilvl w:val="0"/>
          <w:numId w:val="4"/>
        </w:numPr>
      </w:pPr>
      <w:r>
        <w:t>Which continent has the highest prevalence of obesity?</w:t>
      </w:r>
    </w:p>
    <w:p w:rsidR="0079121A" w:rsidRDefault="0079121A" w:rsidP="0079121A">
      <w:pPr>
        <w:pStyle w:val="BodyText"/>
      </w:pPr>
    </w:p>
    <w:p w:rsidR="0079121A" w:rsidRDefault="0079121A" w:rsidP="0079121A">
      <w:pPr>
        <w:pStyle w:val="BodyText"/>
      </w:pPr>
    </w:p>
    <w:p w:rsidR="0079121A" w:rsidRDefault="0079121A" w:rsidP="0079121A">
      <w:pPr>
        <w:pStyle w:val="Numbered"/>
      </w:pPr>
      <w:r>
        <w:t>What is the prevalence for India?</w:t>
      </w:r>
    </w:p>
    <w:p w:rsidR="0079121A" w:rsidRDefault="0079121A" w:rsidP="0079121A">
      <w:pPr>
        <w:pStyle w:val="BodyText"/>
      </w:pPr>
    </w:p>
    <w:p w:rsidR="0079121A" w:rsidRDefault="0079121A" w:rsidP="0079121A">
      <w:pPr>
        <w:pStyle w:val="BodyText"/>
      </w:pPr>
    </w:p>
    <w:p w:rsidR="0079121A" w:rsidRDefault="0079121A" w:rsidP="0079121A">
      <w:pPr>
        <w:pStyle w:val="Numbered"/>
      </w:pPr>
      <w:r>
        <w:t>What is the prevalence for the United States?</w:t>
      </w:r>
    </w:p>
    <w:p w:rsidR="0079121A" w:rsidRDefault="0079121A" w:rsidP="0079121A">
      <w:pPr>
        <w:pStyle w:val="BodyText"/>
      </w:pPr>
    </w:p>
    <w:p w:rsidR="0079121A" w:rsidRDefault="0079121A" w:rsidP="0079121A">
      <w:pPr>
        <w:pStyle w:val="BodyText"/>
      </w:pPr>
    </w:p>
    <w:p w:rsidR="0079121A" w:rsidRDefault="0079121A" w:rsidP="0079121A">
      <w:pPr>
        <w:pStyle w:val="Numbered"/>
      </w:pPr>
      <w:r>
        <w:t>Name two countries where the prevalence is less than 20%.</w:t>
      </w:r>
    </w:p>
    <w:p w:rsidR="0079121A" w:rsidRDefault="0079121A" w:rsidP="0079121A">
      <w:pPr>
        <w:pStyle w:val="BodyText"/>
      </w:pPr>
    </w:p>
    <w:p w:rsidR="0079121A" w:rsidRDefault="0079121A" w:rsidP="0079121A">
      <w:pPr>
        <w:pStyle w:val="BodyText"/>
      </w:pPr>
    </w:p>
    <w:p w:rsidR="0079121A" w:rsidRPr="00581F6C" w:rsidRDefault="0079121A" w:rsidP="0079121A">
      <w:pPr>
        <w:pStyle w:val="Numbered"/>
      </w:pPr>
      <w:r>
        <w:t>Name one where the prevalence is equal to or greater than 80%.</w:t>
      </w:r>
    </w:p>
    <w:p w:rsidR="0079121A" w:rsidRDefault="0079121A" w:rsidP="0079121A">
      <w:pPr>
        <w:pStyle w:val="BodyText"/>
      </w:pPr>
    </w:p>
    <w:p w:rsidR="0079121A" w:rsidRDefault="0079121A" w:rsidP="0079121A">
      <w:pPr>
        <w:pStyle w:val="BodyText"/>
      </w:pPr>
    </w:p>
    <w:p w:rsidR="007D5B53" w:rsidRDefault="007D5B53"/>
    <w:sectPr w:rsidR="007D5B53" w:rsidSect="007D5B5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LT-Heavy">
    <w:altName w:val="Cambria"/>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F433F"/>
    <w:multiLevelType w:val="hybridMultilevel"/>
    <w:tmpl w:val="6B506810"/>
    <w:lvl w:ilvl="0" w:tplc="A5624F44">
      <w:start w:val="1"/>
      <w:numFmt w:val="bullet"/>
      <w:pStyle w:val="BL"/>
      <w:lvlText w:val=""/>
      <w:lvlJc w:val="left"/>
      <w:pPr>
        <w:tabs>
          <w:tab w:val="num" w:pos="1080"/>
        </w:tabs>
        <w:ind w:left="1080" w:hanging="360"/>
      </w:pPr>
      <w:rPr>
        <w:rFonts w:ascii="Symbol" w:hAnsi="Symbol" w:hint="default"/>
      </w:rPr>
    </w:lvl>
    <w:lvl w:ilvl="1" w:tplc="1212B224">
      <w:start w:val="1"/>
      <w:numFmt w:val="bullet"/>
      <w:pStyle w:val="BL-sub"/>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41F4715C"/>
    <w:multiLevelType w:val="hybridMultilevel"/>
    <w:tmpl w:val="7C4E3592"/>
    <w:lvl w:ilvl="0" w:tplc="A192F176">
      <w:start w:val="1"/>
      <w:numFmt w:val="decimal"/>
      <w:pStyle w:val="Numbered"/>
      <w:lvlText w:val="%1."/>
      <w:lvlJc w:val="left"/>
      <w:pPr>
        <w:tabs>
          <w:tab w:val="num" w:pos="630"/>
        </w:tabs>
        <w:ind w:left="63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77913D53"/>
    <w:multiLevelType w:val="hybridMultilevel"/>
    <w:tmpl w:val="CC7AF470"/>
    <w:lvl w:ilvl="0" w:tplc="DB2CA2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num>
  <w:num w:numId="2">
    <w:abstractNumId w:val="0"/>
  </w:num>
  <w:num w:numId="3">
    <w:abstractNumId w:val="2"/>
  </w:num>
  <w:num w:numId="4">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21A"/>
    <w:rsid w:val="0079121A"/>
    <w:rsid w:val="007D5B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4B0988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BodyText"/>
    <w:qFormat/>
    <w:rsid w:val="0079121A"/>
    <w:pPr>
      <w:spacing w:after="120" w:line="240" w:lineRule="atLeast"/>
    </w:pPr>
    <w:rPr>
      <w:rFonts w:ascii="Arial" w:eastAsia="Times New Roman" w:hAnsi="Arial"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79121A"/>
    <w:pPr>
      <w:spacing w:before="120"/>
    </w:pPr>
  </w:style>
  <w:style w:type="character" w:customStyle="1" w:styleId="BodyTextChar">
    <w:name w:val="Body Text Char"/>
    <w:basedOn w:val="DefaultParagraphFont"/>
    <w:link w:val="BodyText"/>
    <w:rsid w:val="0079121A"/>
    <w:rPr>
      <w:rFonts w:ascii="Arial" w:eastAsia="Times New Roman" w:hAnsi="Arial" w:cs="Times New Roman"/>
      <w:sz w:val="20"/>
    </w:rPr>
  </w:style>
  <w:style w:type="paragraph" w:customStyle="1" w:styleId="TableText">
    <w:name w:val="Table Text"/>
    <w:basedOn w:val="Normal"/>
    <w:autoRedefine/>
    <w:qFormat/>
    <w:rsid w:val="0079121A"/>
    <w:pPr>
      <w:suppressAutoHyphens/>
      <w:autoSpaceDE w:val="0"/>
      <w:autoSpaceDN w:val="0"/>
      <w:adjustRightInd w:val="0"/>
      <w:spacing w:before="120" w:line="240" w:lineRule="auto"/>
      <w:textAlignment w:val="center"/>
    </w:pPr>
    <w:rPr>
      <w:rFonts w:cs="Tahoma"/>
      <w:color w:val="000000"/>
      <w:szCs w:val="20"/>
    </w:rPr>
  </w:style>
  <w:style w:type="paragraph" w:customStyle="1" w:styleId="BL">
    <w:name w:val="BL"/>
    <w:basedOn w:val="Normal"/>
    <w:autoRedefine/>
    <w:qFormat/>
    <w:rsid w:val="0079121A"/>
    <w:pPr>
      <w:numPr>
        <w:numId w:val="2"/>
      </w:numPr>
      <w:tabs>
        <w:tab w:val="clear" w:pos="1080"/>
        <w:tab w:val="left" w:pos="360"/>
      </w:tabs>
      <w:suppressAutoHyphens/>
      <w:autoSpaceDE w:val="0"/>
      <w:autoSpaceDN w:val="0"/>
      <w:adjustRightInd w:val="0"/>
      <w:spacing w:before="120" w:line="240" w:lineRule="auto"/>
      <w:ind w:left="648"/>
      <w:textAlignment w:val="center"/>
    </w:pPr>
    <w:rPr>
      <w:rFonts w:cs="Courier New"/>
      <w:color w:val="000000"/>
      <w:szCs w:val="20"/>
    </w:rPr>
  </w:style>
  <w:style w:type="paragraph" w:customStyle="1" w:styleId="Numbered">
    <w:name w:val="Numbered"/>
    <w:basedOn w:val="BL"/>
    <w:autoRedefine/>
    <w:rsid w:val="0079121A"/>
    <w:pPr>
      <w:numPr>
        <w:numId w:val="1"/>
      </w:numPr>
      <w:spacing w:before="240" w:after="0"/>
    </w:pPr>
  </w:style>
  <w:style w:type="paragraph" w:customStyle="1" w:styleId="ResourceNo">
    <w:name w:val="ResourceNo"/>
    <w:basedOn w:val="Normal"/>
    <w:next w:val="ResourceTitle"/>
    <w:link w:val="ResourceNoChar"/>
    <w:autoRedefine/>
    <w:rsid w:val="0079121A"/>
    <w:pPr>
      <w:pageBreakBefore/>
      <w:widowControl w:val="0"/>
      <w:suppressAutoHyphens/>
      <w:autoSpaceDE w:val="0"/>
      <w:autoSpaceDN w:val="0"/>
      <w:adjustRightInd w:val="0"/>
      <w:spacing w:before="120" w:line="240" w:lineRule="auto"/>
      <w:jc w:val="center"/>
      <w:textAlignment w:val="center"/>
    </w:pPr>
    <w:rPr>
      <w:rFonts w:cs="AvenirLT-Heavy"/>
      <w:b/>
      <w:color w:val="27448B"/>
      <w:szCs w:val="44"/>
    </w:rPr>
  </w:style>
  <w:style w:type="character" w:customStyle="1" w:styleId="ResourceNoChar">
    <w:name w:val="ResourceNo Char"/>
    <w:basedOn w:val="DefaultParagraphFont"/>
    <w:link w:val="ResourceNo"/>
    <w:locked/>
    <w:rsid w:val="0079121A"/>
    <w:rPr>
      <w:rFonts w:ascii="Arial" w:eastAsia="Times New Roman" w:hAnsi="Arial" w:cs="AvenirLT-Heavy"/>
      <w:b/>
      <w:color w:val="27448B"/>
      <w:sz w:val="20"/>
      <w:szCs w:val="44"/>
    </w:rPr>
  </w:style>
  <w:style w:type="paragraph" w:customStyle="1" w:styleId="Instructions">
    <w:name w:val="Instructions"/>
    <w:basedOn w:val="Normal"/>
    <w:autoRedefine/>
    <w:qFormat/>
    <w:rsid w:val="0079121A"/>
    <w:pPr>
      <w:tabs>
        <w:tab w:val="left" w:pos="1080"/>
        <w:tab w:val="left" w:pos="1620"/>
        <w:tab w:val="left" w:pos="4320"/>
        <w:tab w:val="left" w:pos="4680"/>
      </w:tabs>
      <w:suppressAutoHyphens/>
      <w:autoSpaceDE w:val="0"/>
      <w:autoSpaceDN w:val="0"/>
      <w:adjustRightInd w:val="0"/>
      <w:spacing w:before="120" w:after="240" w:line="240" w:lineRule="auto"/>
      <w:textAlignment w:val="center"/>
    </w:pPr>
    <w:rPr>
      <w:rFonts w:cs="Arial"/>
      <w:i/>
      <w:color w:val="27448B"/>
      <w:szCs w:val="20"/>
    </w:rPr>
  </w:style>
  <w:style w:type="table" w:styleId="TableGrid">
    <w:name w:val="Table Grid"/>
    <w:basedOn w:val="TableNormal"/>
    <w:rsid w:val="0079121A"/>
    <w:pPr>
      <w:spacing w:after="120" w:line="240" w:lineRule="atLeas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sourceTitle">
    <w:name w:val="Resource Title"/>
    <w:basedOn w:val="Normal"/>
    <w:next w:val="Instructions"/>
    <w:autoRedefine/>
    <w:rsid w:val="0079121A"/>
    <w:pPr>
      <w:widowControl w:val="0"/>
      <w:suppressAutoHyphens/>
      <w:autoSpaceDE w:val="0"/>
      <w:autoSpaceDN w:val="0"/>
      <w:adjustRightInd w:val="0"/>
      <w:spacing w:after="360" w:line="240" w:lineRule="auto"/>
      <w:jc w:val="center"/>
      <w:textAlignment w:val="center"/>
    </w:pPr>
    <w:rPr>
      <w:rFonts w:cs="AvenirLT-Heavy"/>
      <w:b/>
      <w:color w:val="27448B"/>
      <w:sz w:val="36"/>
      <w:szCs w:val="36"/>
    </w:rPr>
  </w:style>
  <w:style w:type="paragraph" w:customStyle="1" w:styleId="H1">
    <w:name w:val="H1"/>
    <w:basedOn w:val="Normal"/>
    <w:autoRedefine/>
    <w:qFormat/>
    <w:rsid w:val="0079121A"/>
    <w:pPr>
      <w:keepNext/>
      <w:widowControl w:val="0"/>
      <w:pBdr>
        <w:top w:val="single" w:sz="24" w:space="3" w:color="27448B"/>
      </w:pBdr>
      <w:suppressAutoHyphens/>
      <w:autoSpaceDE w:val="0"/>
      <w:autoSpaceDN w:val="0"/>
      <w:adjustRightInd w:val="0"/>
      <w:spacing w:before="240" w:line="240" w:lineRule="auto"/>
      <w:textAlignment w:val="center"/>
    </w:pPr>
    <w:rPr>
      <w:rFonts w:cs="AvenirLT-Heavy"/>
      <w:b/>
      <w:color w:val="27448B"/>
      <w:sz w:val="32"/>
      <w:szCs w:val="32"/>
    </w:rPr>
  </w:style>
  <w:style w:type="character" w:styleId="Hyperlink">
    <w:name w:val="Hyperlink"/>
    <w:basedOn w:val="DefaultParagraphFont"/>
    <w:rsid w:val="0079121A"/>
    <w:rPr>
      <w:rFonts w:cs="Times New Roman"/>
      <w:color w:val="0000FF"/>
      <w:u w:val="single"/>
    </w:rPr>
  </w:style>
  <w:style w:type="paragraph" w:customStyle="1" w:styleId="BL-sub">
    <w:name w:val="BL-sub"/>
    <w:basedOn w:val="BL"/>
    <w:qFormat/>
    <w:rsid w:val="0079121A"/>
    <w:pPr>
      <w:numPr>
        <w:ilvl w:val="1"/>
      </w:numPr>
      <w:tabs>
        <w:tab w:val="clear" w:pos="1800"/>
        <w:tab w:val="left" w:pos="990"/>
      </w:tabs>
      <w:ind w:left="994"/>
    </w:pPr>
  </w:style>
  <w:style w:type="paragraph" w:styleId="BalloonText">
    <w:name w:val="Balloon Text"/>
    <w:basedOn w:val="Normal"/>
    <w:link w:val="BalloonTextChar"/>
    <w:uiPriority w:val="99"/>
    <w:semiHidden/>
    <w:unhideWhenUsed/>
    <w:rsid w:val="0079121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9121A"/>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BodyText"/>
    <w:qFormat/>
    <w:rsid w:val="0079121A"/>
    <w:pPr>
      <w:spacing w:after="120" w:line="240" w:lineRule="atLeast"/>
    </w:pPr>
    <w:rPr>
      <w:rFonts w:ascii="Arial" w:eastAsia="Times New Roman" w:hAnsi="Arial"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79121A"/>
    <w:pPr>
      <w:spacing w:before="120"/>
    </w:pPr>
  </w:style>
  <w:style w:type="character" w:customStyle="1" w:styleId="BodyTextChar">
    <w:name w:val="Body Text Char"/>
    <w:basedOn w:val="DefaultParagraphFont"/>
    <w:link w:val="BodyText"/>
    <w:rsid w:val="0079121A"/>
    <w:rPr>
      <w:rFonts w:ascii="Arial" w:eastAsia="Times New Roman" w:hAnsi="Arial" w:cs="Times New Roman"/>
      <w:sz w:val="20"/>
    </w:rPr>
  </w:style>
  <w:style w:type="paragraph" w:customStyle="1" w:styleId="TableText">
    <w:name w:val="Table Text"/>
    <w:basedOn w:val="Normal"/>
    <w:autoRedefine/>
    <w:qFormat/>
    <w:rsid w:val="0079121A"/>
    <w:pPr>
      <w:suppressAutoHyphens/>
      <w:autoSpaceDE w:val="0"/>
      <w:autoSpaceDN w:val="0"/>
      <w:adjustRightInd w:val="0"/>
      <w:spacing w:before="120" w:line="240" w:lineRule="auto"/>
      <w:textAlignment w:val="center"/>
    </w:pPr>
    <w:rPr>
      <w:rFonts w:cs="Tahoma"/>
      <w:color w:val="000000"/>
      <w:szCs w:val="20"/>
    </w:rPr>
  </w:style>
  <w:style w:type="paragraph" w:customStyle="1" w:styleId="BL">
    <w:name w:val="BL"/>
    <w:basedOn w:val="Normal"/>
    <w:autoRedefine/>
    <w:qFormat/>
    <w:rsid w:val="0079121A"/>
    <w:pPr>
      <w:numPr>
        <w:numId w:val="2"/>
      </w:numPr>
      <w:tabs>
        <w:tab w:val="clear" w:pos="1080"/>
        <w:tab w:val="left" w:pos="360"/>
      </w:tabs>
      <w:suppressAutoHyphens/>
      <w:autoSpaceDE w:val="0"/>
      <w:autoSpaceDN w:val="0"/>
      <w:adjustRightInd w:val="0"/>
      <w:spacing w:before="120" w:line="240" w:lineRule="auto"/>
      <w:ind w:left="648"/>
      <w:textAlignment w:val="center"/>
    </w:pPr>
    <w:rPr>
      <w:rFonts w:cs="Courier New"/>
      <w:color w:val="000000"/>
      <w:szCs w:val="20"/>
    </w:rPr>
  </w:style>
  <w:style w:type="paragraph" w:customStyle="1" w:styleId="Numbered">
    <w:name w:val="Numbered"/>
    <w:basedOn w:val="BL"/>
    <w:autoRedefine/>
    <w:rsid w:val="0079121A"/>
    <w:pPr>
      <w:numPr>
        <w:numId w:val="1"/>
      </w:numPr>
      <w:spacing w:before="240" w:after="0"/>
    </w:pPr>
  </w:style>
  <w:style w:type="paragraph" w:customStyle="1" w:styleId="ResourceNo">
    <w:name w:val="ResourceNo"/>
    <w:basedOn w:val="Normal"/>
    <w:next w:val="ResourceTitle"/>
    <w:link w:val="ResourceNoChar"/>
    <w:autoRedefine/>
    <w:rsid w:val="0079121A"/>
    <w:pPr>
      <w:pageBreakBefore/>
      <w:widowControl w:val="0"/>
      <w:suppressAutoHyphens/>
      <w:autoSpaceDE w:val="0"/>
      <w:autoSpaceDN w:val="0"/>
      <w:adjustRightInd w:val="0"/>
      <w:spacing w:before="120" w:line="240" w:lineRule="auto"/>
      <w:jc w:val="center"/>
      <w:textAlignment w:val="center"/>
    </w:pPr>
    <w:rPr>
      <w:rFonts w:cs="AvenirLT-Heavy"/>
      <w:b/>
      <w:color w:val="27448B"/>
      <w:szCs w:val="44"/>
    </w:rPr>
  </w:style>
  <w:style w:type="character" w:customStyle="1" w:styleId="ResourceNoChar">
    <w:name w:val="ResourceNo Char"/>
    <w:basedOn w:val="DefaultParagraphFont"/>
    <w:link w:val="ResourceNo"/>
    <w:locked/>
    <w:rsid w:val="0079121A"/>
    <w:rPr>
      <w:rFonts w:ascii="Arial" w:eastAsia="Times New Roman" w:hAnsi="Arial" w:cs="AvenirLT-Heavy"/>
      <w:b/>
      <w:color w:val="27448B"/>
      <w:sz w:val="20"/>
      <w:szCs w:val="44"/>
    </w:rPr>
  </w:style>
  <w:style w:type="paragraph" w:customStyle="1" w:styleId="Instructions">
    <w:name w:val="Instructions"/>
    <w:basedOn w:val="Normal"/>
    <w:autoRedefine/>
    <w:qFormat/>
    <w:rsid w:val="0079121A"/>
    <w:pPr>
      <w:tabs>
        <w:tab w:val="left" w:pos="1080"/>
        <w:tab w:val="left" w:pos="1620"/>
        <w:tab w:val="left" w:pos="4320"/>
        <w:tab w:val="left" w:pos="4680"/>
      </w:tabs>
      <w:suppressAutoHyphens/>
      <w:autoSpaceDE w:val="0"/>
      <w:autoSpaceDN w:val="0"/>
      <w:adjustRightInd w:val="0"/>
      <w:spacing w:before="120" w:after="240" w:line="240" w:lineRule="auto"/>
      <w:textAlignment w:val="center"/>
    </w:pPr>
    <w:rPr>
      <w:rFonts w:cs="Arial"/>
      <w:i/>
      <w:color w:val="27448B"/>
      <w:szCs w:val="20"/>
    </w:rPr>
  </w:style>
  <w:style w:type="table" w:styleId="TableGrid">
    <w:name w:val="Table Grid"/>
    <w:basedOn w:val="TableNormal"/>
    <w:rsid w:val="0079121A"/>
    <w:pPr>
      <w:spacing w:after="120" w:line="240" w:lineRule="atLeas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sourceTitle">
    <w:name w:val="Resource Title"/>
    <w:basedOn w:val="Normal"/>
    <w:next w:val="Instructions"/>
    <w:autoRedefine/>
    <w:rsid w:val="0079121A"/>
    <w:pPr>
      <w:widowControl w:val="0"/>
      <w:suppressAutoHyphens/>
      <w:autoSpaceDE w:val="0"/>
      <w:autoSpaceDN w:val="0"/>
      <w:adjustRightInd w:val="0"/>
      <w:spacing w:after="360" w:line="240" w:lineRule="auto"/>
      <w:jc w:val="center"/>
      <w:textAlignment w:val="center"/>
    </w:pPr>
    <w:rPr>
      <w:rFonts w:cs="AvenirLT-Heavy"/>
      <w:b/>
      <w:color w:val="27448B"/>
      <w:sz w:val="36"/>
      <w:szCs w:val="36"/>
    </w:rPr>
  </w:style>
  <w:style w:type="paragraph" w:customStyle="1" w:styleId="H1">
    <w:name w:val="H1"/>
    <w:basedOn w:val="Normal"/>
    <w:autoRedefine/>
    <w:qFormat/>
    <w:rsid w:val="0079121A"/>
    <w:pPr>
      <w:keepNext/>
      <w:widowControl w:val="0"/>
      <w:pBdr>
        <w:top w:val="single" w:sz="24" w:space="3" w:color="27448B"/>
      </w:pBdr>
      <w:suppressAutoHyphens/>
      <w:autoSpaceDE w:val="0"/>
      <w:autoSpaceDN w:val="0"/>
      <w:adjustRightInd w:val="0"/>
      <w:spacing w:before="240" w:line="240" w:lineRule="auto"/>
      <w:textAlignment w:val="center"/>
    </w:pPr>
    <w:rPr>
      <w:rFonts w:cs="AvenirLT-Heavy"/>
      <w:b/>
      <w:color w:val="27448B"/>
      <w:sz w:val="32"/>
      <w:szCs w:val="32"/>
    </w:rPr>
  </w:style>
  <w:style w:type="character" w:styleId="Hyperlink">
    <w:name w:val="Hyperlink"/>
    <w:basedOn w:val="DefaultParagraphFont"/>
    <w:rsid w:val="0079121A"/>
    <w:rPr>
      <w:rFonts w:cs="Times New Roman"/>
      <w:color w:val="0000FF"/>
      <w:u w:val="single"/>
    </w:rPr>
  </w:style>
  <w:style w:type="paragraph" w:customStyle="1" w:styleId="BL-sub">
    <w:name w:val="BL-sub"/>
    <w:basedOn w:val="BL"/>
    <w:qFormat/>
    <w:rsid w:val="0079121A"/>
    <w:pPr>
      <w:numPr>
        <w:ilvl w:val="1"/>
      </w:numPr>
      <w:tabs>
        <w:tab w:val="clear" w:pos="1800"/>
        <w:tab w:val="left" w:pos="990"/>
      </w:tabs>
      <w:ind w:left="994"/>
    </w:pPr>
  </w:style>
  <w:style w:type="paragraph" w:styleId="BalloonText">
    <w:name w:val="Balloon Text"/>
    <w:basedOn w:val="Normal"/>
    <w:link w:val="BalloonTextChar"/>
    <w:uiPriority w:val="99"/>
    <w:semiHidden/>
    <w:unhideWhenUsed/>
    <w:rsid w:val="0079121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9121A"/>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apps.nccd.cdc.gov/dnpabmi/" TargetMode="External"/><Relationship Id="rId7" Type="http://schemas.openxmlformats.org/officeDocument/2006/relationships/hyperlink" Target="http://www.cdc.gov/obesity/data/trends.html" TargetMode="External"/><Relationship Id="rId8" Type="http://schemas.openxmlformats.org/officeDocument/2006/relationships/chart" Target="charts/chart1.xml"/><Relationship Id="rId9" Type="http://schemas.openxmlformats.org/officeDocument/2006/relationships/hyperlink" Target="http://tiny.cc/Global_WHO_Obesity"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Increase in Obesity by State</a:t>
            </a:r>
          </a:p>
        </c:rich>
      </c:tx>
      <c:layout/>
      <c:overlay val="0"/>
    </c:title>
    <c:autoTitleDeleted val="0"/>
    <c:plotArea>
      <c:layout/>
      <c:barChart>
        <c:barDir val="col"/>
        <c:grouping val="clustered"/>
        <c:varyColors val="0"/>
        <c:ser>
          <c:idx val="0"/>
          <c:order val="0"/>
          <c:tx>
            <c:strRef>
              <c:f>Sheet1!$B$1</c:f>
              <c:strCache>
                <c:ptCount val="1"/>
                <c:pt idx="0">
                  <c:v>My state</c:v>
                </c:pt>
              </c:strCache>
            </c:strRef>
          </c:tx>
          <c:spPr>
            <a:noFill/>
            <a:ln>
              <a:solidFill>
                <a:schemeClr val="accent6">
                  <a:lumMod val="50000"/>
                </a:schemeClr>
              </a:solidFill>
            </a:ln>
          </c:spPr>
          <c:invertIfNegative val="0"/>
          <c:cat>
            <c:numRef>
              <c:f>Sheet1!$A$2:$A$7</c:f>
              <c:numCache>
                <c:formatCode>General</c:formatCode>
                <c:ptCount val="6"/>
                <c:pt idx="0">
                  <c:v>1985.0</c:v>
                </c:pt>
                <c:pt idx="1">
                  <c:v>1990.0</c:v>
                </c:pt>
                <c:pt idx="2">
                  <c:v>1995.0</c:v>
                </c:pt>
                <c:pt idx="3">
                  <c:v>2000.0</c:v>
                </c:pt>
                <c:pt idx="4">
                  <c:v>2005.0</c:v>
                </c:pt>
                <c:pt idx="5">
                  <c:v>2010.0</c:v>
                </c:pt>
              </c:numCache>
            </c:numRef>
          </c:cat>
          <c:val>
            <c:numRef>
              <c:f>Sheet1!$B$2:$B$7</c:f>
              <c:numCache>
                <c:formatCode>General</c:formatCode>
                <c:ptCount val="6"/>
              </c:numCache>
            </c:numRef>
          </c:val>
        </c:ser>
        <c:ser>
          <c:idx val="1"/>
          <c:order val="1"/>
          <c:tx>
            <c:strRef>
              <c:f>Sheet1!$C$1</c:f>
              <c:strCache>
                <c:ptCount val="1"/>
                <c:pt idx="0">
                  <c:v>Other state</c:v>
                </c:pt>
              </c:strCache>
            </c:strRef>
          </c:tx>
          <c:spPr>
            <a:noFill/>
            <a:ln>
              <a:solidFill>
                <a:schemeClr val="accent6">
                  <a:lumMod val="50000"/>
                </a:schemeClr>
              </a:solidFill>
            </a:ln>
          </c:spPr>
          <c:invertIfNegative val="0"/>
          <c:cat>
            <c:numRef>
              <c:f>Sheet1!$A$2:$A$7</c:f>
              <c:numCache>
                <c:formatCode>General</c:formatCode>
                <c:ptCount val="6"/>
                <c:pt idx="0">
                  <c:v>1985.0</c:v>
                </c:pt>
                <c:pt idx="1">
                  <c:v>1990.0</c:v>
                </c:pt>
                <c:pt idx="2">
                  <c:v>1995.0</c:v>
                </c:pt>
                <c:pt idx="3">
                  <c:v>2000.0</c:v>
                </c:pt>
                <c:pt idx="4">
                  <c:v>2005.0</c:v>
                </c:pt>
                <c:pt idx="5">
                  <c:v>2010.0</c:v>
                </c:pt>
              </c:numCache>
            </c:numRef>
          </c:cat>
          <c:val>
            <c:numRef>
              <c:f>Sheet1!$C$2:$C$7</c:f>
              <c:numCache>
                <c:formatCode>General</c:formatCode>
                <c:ptCount val="6"/>
              </c:numCache>
            </c:numRef>
          </c:val>
        </c:ser>
        <c:dLbls>
          <c:showLegendKey val="0"/>
          <c:showVal val="0"/>
          <c:showCatName val="0"/>
          <c:showSerName val="0"/>
          <c:showPercent val="0"/>
          <c:showBubbleSize val="0"/>
        </c:dLbls>
        <c:gapWidth val="150"/>
        <c:axId val="-2126161160"/>
        <c:axId val="-2126012008"/>
      </c:barChart>
      <c:catAx>
        <c:axId val="-2126161160"/>
        <c:scaling>
          <c:orientation val="minMax"/>
        </c:scaling>
        <c:delete val="0"/>
        <c:axPos val="b"/>
        <c:title>
          <c:tx>
            <c:rich>
              <a:bodyPr/>
              <a:lstStyle/>
              <a:p>
                <a:pPr>
                  <a:defRPr/>
                </a:pPr>
                <a:r>
                  <a:rPr lang="en-US"/>
                  <a:t>Year</a:t>
                </a:r>
              </a:p>
            </c:rich>
          </c:tx>
          <c:layout/>
          <c:overlay val="0"/>
        </c:title>
        <c:numFmt formatCode="General" sourceLinked="1"/>
        <c:majorTickMark val="none"/>
        <c:minorTickMark val="none"/>
        <c:tickLblPos val="nextTo"/>
        <c:crossAx val="-2126012008"/>
        <c:crosses val="autoZero"/>
        <c:auto val="1"/>
        <c:lblAlgn val="ctr"/>
        <c:lblOffset val="100"/>
        <c:noMultiLvlLbl val="0"/>
      </c:catAx>
      <c:valAx>
        <c:axId val="-2126012008"/>
        <c:scaling>
          <c:orientation val="minMax"/>
          <c:max val="90.0"/>
          <c:min val="0.0"/>
        </c:scaling>
        <c:delete val="0"/>
        <c:axPos val="l"/>
        <c:majorGridlines/>
        <c:title>
          <c:tx>
            <c:rich>
              <a:bodyPr/>
              <a:lstStyle/>
              <a:p>
                <a:pPr>
                  <a:defRPr/>
                </a:pPr>
                <a:r>
                  <a:rPr lang="en-US"/>
                  <a:t>Percentage</a:t>
                </a:r>
                <a:r>
                  <a:rPr lang="en-US" baseline="0"/>
                  <a:t> of Obese Adults</a:t>
                </a:r>
                <a:endParaRPr lang="en-US"/>
              </a:p>
            </c:rich>
          </c:tx>
          <c:layout/>
          <c:overlay val="0"/>
        </c:title>
        <c:numFmt formatCode="General" sourceLinked="1"/>
        <c:majorTickMark val="out"/>
        <c:minorTickMark val="none"/>
        <c:tickLblPos val="nextTo"/>
        <c:crossAx val="-2126161160"/>
        <c:crosses val="autoZero"/>
        <c:crossBetween val="between"/>
        <c:majorUnit val="10.0"/>
        <c:minorUnit val="5.0"/>
      </c:valAx>
    </c:plotArea>
    <c:legend>
      <c:legendPos val="r"/>
      <c:layout/>
      <c:overlay val="0"/>
      <c:spPr>
        <a:noFill/>
      </c:spPr>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628</Words>
  <Characters>3584</Characters>
  <Application>Microsoft Macintosh Word</Application>
  <DocSecurity>0</DocSecurity>
  <Lines>29</Lines>
  <Paragraphs>8</Paragraphs>
  <ScaleCrop>false</ScaleCrop>
  <Company/>
  <LinksUpToDate>false</LinksUpToDate>
  <CharactersWithSpaces>4204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Chandler</dc:creator>
  <cp:keywords/>
  <dc:description/>
  <cp:lastModifiedBy>Karen Chandler</cp:lastModifiedBy>
  <cp:revision>1</cp:revision>
  <dcterms:created xsi:type="dcterms:W3CDTF">2015-11-07T18:00:00Z</dcterms:created>
  <dcterms:modified xsi:type="dcterms:W3CDTF">2015-11-07T18:00:00Z</dcterms:modified>
</cp:coreProperties>
</file>