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6" w:rsidRDefault="007A67A6" w:rsidP="007A67A6">
      <w:pPr>
        <w:pStyle w:val="ResourceNo"/>
      </w:pPr>
      <w:bookmarkStart w:id="0" w:name="_GoBack"/>
      <w:r>
        <w:t>S</w:t>
      </w:r>
      <w:r w:rsidRPr="00CC58E3">
        <w:t xml:space="preserve">tudent Resource </w:t>
      </w:r>
      <w:r>
        <w:t>11.5</w:t>
      </w:r>
    </w:p>
    <w:p w:rsidR="007A67A6" w:rsidRDefault="007A67A6" w:rsidP="007A67A6">
      <w:pPr>
        <w:pStyle w:val="ResourceTitle"/>
      </w:pPr>
      <w:r>
        <w:t xml:space="preserve">Compare and Contrast: </w:t>
      </w:r>
      <w:r>
        <w:br/>
        <w:t xml:space="preserve">Community-Based and Policy-Based Interventions </w:t>
      </w:r>
    </w:p>
    <w:bookmarkEnd w:id="0"/>
    <w:p w:rsidR="007A67A6" w:rsidRPr="00AE5562" w:rsidRDefault="007A67A6" w:rsidP="007A67A6">
      <w:pPr>
        <w:pStyle w:val="Instructions"/>
      </w:pPr>
      <w:r>
        <w:t>Student Names</w:t>
      </w:r>
      <w:proofErr w:type="gramStart"/>
      <w:r>
        <w:t>:_</w:t>
      </w:r>
      <w:proofErr w:type="gramEnd"/>
      <w:r>
        <w:t>______________________________________________________ Date:___________</w:t>
      </w:r>
    </w:p>
    <w:p w:rsidR="007A67A6" w:rsidRPr="00F906C0" w:rsidRDefault="007A67A6" w:rsidP="007A67A6">
      <w:pPr>
        <w:pStyle w:val="Instructions"/>
      </w:pPr>
      <w:r w:rsidRPr="00F906C0">
        <w:t xml:space="preserve">Directions: An issue like driving and texting can be addressed by both policy interventions and community interventions. Read the </w:t>
      </w:r>
      <w:r>
        <w:t>sections</w:t>
      </w:r>
      <w:r w:rsidRPr="00F906C0">
        <w:t xml:space="preserve"> below and answer the questions about each intervention. Then use the Venn diagram to compare and contrast community</w:t>
      </w:r>
      <w:r>
        <w:t>-based</w:t>
      </w:r>
      <w:r w:rsidRPr="00F906C0">
        <w:t xml:space="preserve"> health interventions and policy interventions. </w:t>
      </w:r>
    </w:p>
    <w:p w:rsidR="007A67A6" w:rsidRDefault="007A67A6" w:rsidP="007A67A6">
      <w:pPr>
        <w:pStyle w:val="H3"/>
      </w:pPr>
      <w:r>
        <w:t>Introduction to Driving and Texting</w:t>
      </w:r>
    </w:p>
    <w:p w:rsidR="007A67A6" w:rsidRDefault="007A67A6" w:rsidP="007A67A6">
      <w:pPr>
        <w:pStyle w:val="BodyText"/>
      </w:pPr>
      <w:r>
        <w:t>Driving and texting, a type of distracted driving, is a leading cause of accidents in the United States. This issue especially affects teens. According to one survey, almost half of teens admit to driving and texting. People who drive and text are 23% more likely to be in a crash than those who don’t.</w:t>
      </w:r>
    </w:p>
    <w:p w:rsidR="007A67A6" w:rsidRDefault="007A67A6" w:rsidP="007A67A6">
      <w:pPr>
        <w:pStyle w:val="BodyText"/>
      </w:pPr>
      <w:r>
        <w:t xml:space="preserve">By 2012, 39 states had implemented a policy intervention to address this serious issue. These states have laws banning texting while driving. Community health interventions are also used to fight driving and texting. </w:t>
      </w:r>
    </w:p>
    <w:p w:rsidR="007A67A6" w:rsidRDefault="007A67A6" w:rsidP="007A67A6">
      <w:pPr>
        <w:pStyle w:val="H3"/>
      </w:pPr>
      <w:r>
        <w:t>Community Interventions Address Texting While Driving</w:t>
      </w:r>
    </w:p>
    <w:p w:rsidR="007A67A6" w:rsidRDefault="007A67A6" w:rsidP="007A67A6">
      <w:pPr>
        <w:pStyle w:val="BodyText"/>
      </w:pPr>
      <w:r>
        <w:t xml:space="preserve">The It Can Wait program alerts teens to the dangers of texting while driving. Health educators visit high schools in communities in several states, such as Arkansas and Florida. They show a documentary that features the families of teens who died in texting and driving accidents. They also bring an experiment. Teens take turns “driving” in a special car. They put on headgear that shows an active roadway with pedestrians and stoplights. Hooked up to a simulator, the </w:t>
      </w:r>
      <w:proofErr w:type="gramStart"/>
      <w:r>
        <w:t>teens</w:t>
      </w:r>
      <w:proofErr w:type="gramEnd"/>
      <w:r>
        <w:t xml:space="preserve"> steer and press gas and brake pedals while texting. Their peers watch on a screen as the teen drivers try to navigate the objects in the road. </w:t>
      </w:r>
    </w:p>
    <w:p w:rsidR="007A67A6" w:rsidRPr="00F906C0" w:rsidRDefault="007A67A6" w:rsidP="007A67A6">
      <w:pPr>
        <w:pStyle w:val="BodyText"/>
      </w:pPr>
      <w:r w:rsidRPr="00F906C0">
        <w:t>Who is the target audience</w:t>
      </w:r>
      <w:r w:rsidRPr="00857361">
        <w:t xml:space="preserve"> of the It Can Wait program</w:t>
      </w:r>
      <w:r w:rsidRPr="00F906C0">
        <w:t>?</w:t>
      </w:r>
    </w:p>
    <w:p w:rsidR="007A67A6" w:rsidRPr="00857361" w:rsidRDefault="007A67A6" w:rsidP="007A67A6">
      <w:pPr>
        <w:pStyle w:val="BodyText"/>
      </w:pPr>
    </w:p>
    <w:p w:rsidR="007A67A6" w:rsidRPr="00857361" w:rsidRDefault="007A67A6" w:rsidP="007A67A6">
      <w:pPr>
        <w:pStyle w:val="BodyText"/>
      </w:pPr>
      <w:r w:rsidRPr="00857361">
        <w:t>Who runs the program?</w:t>
      </w:r>
    </w:p>
    <w:p w:rsidR="007A67A6" w:rsidRDefault="007A67A6" w:rsidP="007A67A6">
      <w:pPr>
        <w:pStyle w:val="BodyText"/>
      </w:pPr>
    </w:p>
    <w:p w:rsidR="007A67A6" w:rsidRDefault="007A67A6" w:rsidP="007A67A6">
      <w:pPr>
        <w:pStyle w:val="BodyText"/>
      </w:pPr>
    </w:p>
    <w:p w:rsidR="007A67A6" w:rsidRPr="00F906C0" w:rsidRDefault="007A67A6" w:rsidP="007A67A6">
      <w:pPr>
        <w:pStyle w:val="BodyText"/>
      </w:pPr>
      <w:r w:rsidRPr="00F906C0">
        <w:t>What are some of the resources that the program needs</w:t>
      </w:r>
      <w:r>
        <w:t xml:space="preserve"> in order</w:t>
      </w:r>
      <w:r w:rsidRPr="00F906C0">
        <w:t xml:space="preserve"> to run?</w:t>
      </w:r>
    </w:p>
    <w:p w:rsidR="007A67A6" w:rsidRPr="00F906C0" w:rsidRDefault="007A67A6" w:rsidP="007A67A6">
      <w:pPr>
        <w:pStyle w:val="BodyText"/>
      </w:pPr>
    </w:p>
    <w:p w:rsidR="007A67A6" w:rsidRDefault="007A67A6" w:rsidP="007A67A6">
      <w:pPr>
        <w:pStyle w:val="BodyText"/>
      </w:pPr>
    </w:p>
    <w:p w:rsidR="007A67A6" w:rsidRDefault="007A67A6" w:rsidP="007A67A6">
      <w:pPr>
        <w:pStyle w:val="BodyText"/>
      </w:pPr>
      <w:r w:rsidRPr="00F906C0">
        <w:t xml:space="preserve">What consequences </w:t>
      </w:r>
      <w:r>
        <w:t>d</w:t>
      </w:r>
      <w:r w:rsidRPr="00F906C0">
        <w:t>o students face if they disregard the program?</w:t>
      </w:r>
    </w:p>
    <w:p w:rsidR="007A67A6" w:rsidRDefault="007A67A6" w:rsidP="007A67A6">
      <w:pPr>
        <w:pStyle w:val="BodyText"/>
      </w:pPr>
    </w:p>
    <w:p w:rsidR="007A67A6" w:rsidRDefault="007A67A6" w:rsidP="007A67A6">
      <w:pPr>
        <w:pStyle w:val="BodyText"/>
      </w:pPr>
    </w:p>
    <w:p w:rsidR="007A67A6" w:rsidRDefault="007A67A6" w:rsidP="007A67A6">
      <w:pPr>
        <w:pStyle w:val="BodyText"/>
      </w:pPr>
      <w:r w:rsidRPr="00F906C0">
        <w:t>What outcome do you think program organizers are hoping for?</w:t>
      </w:r>
    </w:p>
    <w:p w:rsidR="007A67A6" w:rsidRDefault="007A67A6" w:rsidP="007A67A6">
      <w:pPr>
        <w:pStyle w:val="BodyText"/>
      </w:pPr>
    </w:p>
    <w:p w:rsidR="007A67A6" w:rsidRPr="00F906C0" w:rsidRDefault="007A67A6" w:rsidP="007A67A6">
      <w:pPr>
        <w:pStyle w:val="BodyText"/>
      </w:pPr>
    </w:p>
    <w:p w:rsidR="007A67A6" w:rsidRDefault="007A67A6" w:rsidP="007A67A6">
      <w:pPr>
        <w:spacing w:after="0" w:line="240" w:lineRule="auto"/>
        <w:rPr>
          <w:rFonts w:cs="Arial"/>
          <w:bCs/>
          <w:color w:val="27448B"/>
          <w:sz w:val="24"/>
          <w:szCs w:val="28"/>
        </w:rPr>
      </w:pPr>
      <w:r>
        <w:br w:type="page"/>
      </w:r>
    </w:p>
    <w:p w:rsidR="007A67A6" w:rsidRDefault="007A67A6" w:rsidP="007A67A6">
      <w:pPr>
        <w:pStyle w:val="H3"/>
      </w:pPr>
      <w:r>
        <w:lastRenderedPageBreak/>
        <w:t>Policy Interventions Also Address Texting While Driving</w:t>
      </w:r>
    </w:p>
    <w:p w:rsidR="007A67A6" w:rsidRDefault="007A67A6" w:rsidP="007A67A6">
      <w:pPr>
        <w:pStyle w:val="BodyText"/>
      </w:pPr>
      <w:r>
        <w:t xml:space="preserve">In 2007–2008, electronic communication devices were the cause of 1,336 wrecks in Arkansas. In response to the problem, a law went into effect in 2009 prohibiting Arkansas drivers from texting while driving. The ban is referred to as Paul’s Law, named after a father who was killed in a head-on crash with a driver who was typing a text. The law prohibits reading, writing, or sending text messages while driving. Drivers will be fined if they are caught texting while driving.  </w:t>
      </w:r>
    </w:p>
    <w:p w:rsidR="007A67A6" w:rsidRPr="00F906C0" w:rsidRDefault="007A67A6" w:rsidP="007A67A6">
      <w:pPr>
        <w:pStyle w:val="BodyText"/>
      </w:pPr>
      <w:r w:rsidRPr="00F906C0">
        <w:t xml:space="preserve">Who does the </w:t>
      </w:r>
      <w:r>
        <w:t xml:space="preserve">Paul’s Law </w:t>
      </w:r>
      <w:r w:rsidRPr="0085682B">
        <w:t xml:space="preserve">intervention </w:t>
      </w:r>
      <w:r>
        <w:t>a</w:t>
      </w:r>
      <w:r w:rsidRPr="00F906C0">
        <w:t>ffect?</w:t>
      </w:r>
    </w:p>
    <w:p w:rsidR="007A67A6" w:rsidRPr="0085682B" w:rsidRDefault="007A67A6" w:rsidP="007A67A6">
      <w:pPr>
        <w:pStyle w:val="BodyText"/>
      </w:pPr>
    </w:p>
    <w:p w:rsidR="007A67A6" w:rsidRPr="0085682B" w:rsidRDefault="007A67A6" w:rsidP="007A67A6">
      <w:pPr>
        <w:pStyle w:val="BodyText"/>
      </w:pPr>
    </w:p>
    <w:p w:rsidR="007A67A6" w:rsidRPr="00F906C0" w:rsidRDefault="007A67A6" w:rsidP="007A67A6">
      <w:pPr>
        <w:pStyle w:val="BodyText"/>
      </w:pPr>
      <w:r w:rsidRPr="00F906C0">
        <w:t>Who is involved in enforcing the intervention?</w:t>
      </w:r>
    </w:p>
    <w:p w:rsidR="007A67A6" w:rsidRPr="0085682B" w:rsidRDefault="007A67A6" w:rsidP="007A67A6">
      <w:pPr>
        <w:pStyle w:val="BodyText"/>
      </w:pPr>
    </w:p>
    <w:p w:rsidR="007A67A6" w:rsidRPr="00857361" w:rsidRDefault="007A67A6" w:rsidP="007A67A6">
      <w:pPr>
        <w:pStyle w:val="BodyText"/>
      </w:pPr>
    </w:p>
    <w:p w:rsidR="007A67A6" w:rsidRPr="008A40FB" w:rsidRDefault="007A67A6" w:rsidP="007A67A6">
      <w:pPr>
        <w:pStyle w:val="BodyText"/>
      </w:pPr>
      <w:r w:rsidRPr="008A40FB">
        <w:t>What are some of the resources that the program needs</w:t>
      </w:r>
      <w:r>
        <w:t xml:space="preserve"> in order</w:t>
      </w:r>
      <w:r w:rsidRPr="008A40FB">
        <w:t xml:space="preserve"> to run?</w:t>
      </w:r>
    </w:p>
    <w:p w:rsidR="007A67A6" w:rsidRDefault="007A67A6" w:rsidP="007A67A6">
      <w:pPr>
        <w:pStyle w:val="BodyText"/>
      </w:pPr>
    </w:p>
    <w:p w:rsidR="007A67A6" w:rsidRDefault="007A67A6" w:rsidP="007A67A6">
      <w:pPr>
        <w:pStyle w:val="BodyText"/>
      </w:pPr>
    </w:p>
    <w:p w:rsidR="007A67A6" w:rsidRPr="00F906C0" w:rsidRDefault="007A67A6" w:rsidP="007A67A6">
      <w:pPr>
        <w:pStyle w:val="BodyText"/>
      </w:pPr>
      <w:r w:rsidRPr="00F906C0">
        <w:t>What consequence do drivers face if they don’t follow the law?</w:t>
      </w:r>
    </w:p>
    <w:p w:rsidR="007A67A6" w:rsidRPr="0085682B" w:rsidRDefault="007A67A6" w:rsidP="007A67A6">
      <w:pPr>
        <w:pStyle w:val="BodyText"/>
      </w:pPr>
    </w:p>
    <w:p w:rsidR="007A67A6" w:rsidRPr="0085682B" w:rsidRDefault="007A67A6" w:rsidP="007A67A6">
      <w:pPr>
        <w:pStyle w:val="BodyText"/>
      </w:pPr>
    </w:p>
    <w:p w:rsidR="007A67A6" w:rsidRPr="00F906C0" w:rsidRDefault="007A67A6" w:rsidP="007A67A6">
      <w:pPr>
        <w:pStyle w:val="BodyText"/>
      </w:pPr>
      <w:r w:rsidRPr="00F906C0">
        <w:t>What outcome do you think lawmakers are hoping for?</w:t>
      </w:r>
    </w:p>
    <w:p w:rsidR="007A67A6" w:rsidRPr="0085682B" w:rsidRDefault="007A67A6" w:rsidP="007A67A6">
      <w:pPr>
        <w:pStyle w:val="BodyText"/>
      </w:pPr>
    </w:p>
    <w:p w:rsidR="007A67A6" w:rsidRPr="0085682B" w:rsidRDefault="007A67A6" w:rsidP="007A67A6">
      <w:pPr>
        <w:pStyle w:val="BodyText"/>
      </w:pPr>
    </w:p>
    <w:p w:rsidR="007A67A6" w:rsidRDefault="007A67A6" w:rsidP="007A67A6">
      <w:pPr>
        <w:pStyle w:val="BodyText"/>
      </w:pPr>
    </w:p>
    <w:p w:rsidR="007A67A6" w:rsidRDefault="007A67A6" w:rsidP="007A67A6">
      <w:pPr>
        <w:spacing w:after="0" w:line="240" w:lineRule="auto"/>
        <w:rPr>
          <w:rFonts w:cs="Arial"/>
          <w:bCs/>
          <w:color w:val="27448B"/>
          <w:sz w:val="24"/>
          <w:szCs w:val="28"/>
        </w:rPr>
      </w:pPr>
      <w:r>
        <w:br w:type="page"/>
      </w:r>
    </w:p>
    <w:p w:rsidR="007A67A6" w:rsidRDefault="007A67A6" w:rsidP="007A67A6">
      <w:pPr>
        <w:pStyle w:val="H3"/>
      </w:pPr>
      <w:r>
        <w:t>Comparing the Community Intervention and Policy Intervention Approaches</w:t>
      </w:r>
    </w:p>
    <w:p w:rsidR="007A67A6" w:rsidRPr="00A73D4E" w:rsidRDefault="007A67A6" w:rsidP="007A67A6">
      <w:pPr>
        <w:pStyle w:val="Instructions"/>
      </w:pPr>
      <w:r>
        <w:t>List characteristics of policy interventions in the left oval, characteristics of community interventions in the right oval, and characteristics that are common to both in the overlapping area. Con</w:t>
      </w:r>
      <w:r w:rsidRPr="00F906C0">
        <w:t xml:space="preserve">sider </w:t>
      </w:r>
      <w:r>
        <w:t xml:space="preserve">factors such as </w:t>
      </w:r>
      <w:r w:rsidRPr="00F906C0">
        <w:t>outcomes, target audience, activities, and other characteristics you have learned about interventions.</w:t>
      </w:r>
    </w:p>
    <w:p w:rsidR="007A67A6" w:rsidRPr="00CC58E3" w:rsidRDefault="007A67A6" w:rsidP="007A67A6">
      <w:pPr>
        <w:pStyle w:val="Numbered"/>
        <w:numPr>
          <w:ilvl w:val="0"/>
          <w:numId w:val="0"/>
        </w:numPr>
        <w:ind w:left="630"/>
      </w:pPr>
      <w:r>
        <w:rPr>
          <w:noProof/>
        </w:rPr>
        <mc:AlternateContent>
          <mc:Choice Requires="wps">
            <w:drawing>
              <wp:anchor distT="0" distB="0" distL="114300" distR="114300" simplePos="0" relativeHeight="251660288" behindDoc="1" locked="0" layoutInCell="1" allowOverlap="1" wp14:anchorId="67B93858" wp14:editId="47B3651B">
                <wp:simplePos x="0" y="0"/>
                <wp:positionH relativeFrom="column">
                  <wp:posOffset>-428625</wp:posOffset>
                </wp:positionH>
                <wp:positionV relativeFrom="paragraph">
                  <wp:posOffset>247015</wp:posOffset>
                </wp:positionV>
                <wp:extent cx="1457325" cy="5207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A6" w:rsidRPr="00912036" w:rsidRDefault="007A67A6" w:rsidP="007A67A6">
                            <w:pPr>
                              <w:ind w:left="720"/>
                              <w:rPr>
                                <w:b/>
                              </w:rPr>
                            </w:pPr>
                            <w:r w:rsidRPr="00912036">
                              <w:rPr>
                                <w:b/>
                              </w:rPr>
                              <w:t>Policy Interventions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7pt;margin-top:19.45pt;width:114.75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" stroked="f">
                <v:textbox>
                  <w:txbxContent>
                    <w:p w:rsidR="007A67A6" w:rsidRPr="00912036" w:rsidRDefault="007A67A6" w:rsidP="007A67A6">
                      <w:pPr>
                        <w:ind w:left="720"/>
                        <w:rPr>
                          <w:b/>
                        </w:rPr>
                      </w:pPr>
                      <w:r w:rsidRPr="00912036">
                        <w:rPr>
                          <w:b/>
                        </w:rPr>
                        <w:t>Policy Interventions</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83A8E2E" wp14:editId="096D5E98">
                <wp:simplePos x="0" y="0"/>
                <wp:positionH relativeFrom="column">
                  <wp:posOffset>4953000</wp:posOffset>
                </wp:positionH>
                <wp:positionV relativeFrom="paragraph">
                  <wp:posOffset>247015</wp:posOffset>
                </wp:positionV>
                <wp:extent cx="1028700" cy="72517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A6" w:rsidRPr="00912036" w:rsidRDefault="007A67A6" w:rsidP="007A67A6">
                            <w:pPr>
                              <w:rPr>
                                <w:b/>
                                <w:lang w:val="fr-FR"/>
                              </w:rPr>
                            </w:pPr>
                            <w:r w:rsidRPr="00912036">
                              <w:rPr>
                                <w:b/>
                              </w:rPr>
                              <w:t>Community</w:t>
                            </w:r>
                            <w:r w:rsidRPr="00912036">
                              <w:rPr>
                                <w:b/>
                                <w:lang w:val="fr-FR"/>
                              </w:rPr>
                              <w:t xml:space="preserve">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90pt;margin-top:19.45pt;width:81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" stroked="f">
                <v:textbox>
                  <w:txbxContent>
                    <w:p w:rsidR="007A67A6" w:rsidRPr="00912036" w:rsidRDefault="007A67A6" w:rsidP="007A67A6">
                      <w:pPr>
                        <w:rPr>
                          <w:b/>
                          <w:lang w:val="fr-FR"/>
                        </w:rPr>
                      </w:pPr>
                      <w:r w:rsidRPr="00912036">
                        <w:rPr>
                          <w:b/>
                        </w:rPr>
                        <w:t>Community</w:t>
                      </w:r>
                      <w:r w:rsidRPr="00912036">
                        <w:rPr>
                          <w:b/>
                          <w:lang w:val="fr-FR"/>
                        </w:rPr>
                        <w:t xml:space="preserve"> Interventions</w:t>
                      </w:r>
                    </w:p>
                  </w:txbxContent>
                </v:textbox>
              </v:shape>
            </w:pict>
          </mc:Fallback>
        </mc:AlternateContent>
      </w:r>
      <w:r w:rsidRPr="00B3488B">
        <w:rPr>
          <w:rFonts w:cs="Times New Roman"/>
          <w:noProof/>
          <w:color w:val="auto"/>
          <w:szCs w:val="24"/>
        </w:rPr>
        <w:drawing>
          <wp:inline distT="0" distB="0" distL="0" distR="0" wp14:anchorId="43D2A591" wp14:editId="032675EF">
            <wp:extent cx="5000625" cy="6810375"/>
            <wp:effectExtent l="254000" t="50800" r="155575" b="47625"/>
            <wp:docPr id="16"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A67A6" w:rsidRPr="00A73D4E" w:rsidRDefault="007A67A6" w:rsidP="007A67A6">
      <w:pPr>
        <w:pStyle w:val="Instructions"/>
      </w:pPr>
    </w:p>
    <w:p w:rsidR="007D5B53" w:rsidRDefault="007D5B53"/>
    <w:sectPr w:rsidR="007D5B53" w:rsidSect="0045658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9" w:rsidRPr="00183F3F" w:rsidRDefault="007A67A6" w:rsidP="00456581">
    <w:pPr>
      <w:pStyle w:val="Footer"/>
    </w:pPr>
    <w:r w:rsidRPr="00183F3F">
      <w:t>Copyright © 20</w:t>
    </w:r>
    <w:r>
      <w:t>12</w:t>
    </w:r>
    <w:r>
      <w:rPr>
        <w:rFonts w:cs="Arial"/>
      </w:rPr>
      <w:t>–</w:t>
    </w:r>
    <w:r>
      <w:t>201</w:t>
    </w:r>
    <w:r>
      <w:t>4</w:t>
    </w:r>
    <w:r w:rsidRPr="00183F3F">
      <w:t xml:space="preserve">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9" w:rsidRPr="00183F3F" w:rsidRDefault="007A67A6" w:rsidP="00456581">
    <w:pPr>
      <w:pStyle w:val="Footer"/>
    </w:pPr>
    <w:r w:rsidRPr="00183F3F">
      <w:t>Copyright © 20</w:t>
    </w:r>
    <w:r>
      <w:t>12</w:t>
    </w:r>
    <w:r>
      <w:rPr>
        <w:rFonts w:cs="Arial"/>
      </w:rPr>
      <w:t>–</w:t>
    </w:r>
    <w:r>
      <w:t>201</w:t>
    </w:r>
    <w:r>
      <w:t>4</w:t>
    </w:r>
    <w:r w:rsidRPr="00183F3F">
      <w:t xml:space="preserve"> 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9" w:rsidRPr="00A748DA" w:rsidRDefault="007A67A6" w:rsidP="00456581">
    <w:pPr>
      <w:pStyle w:val="Headers"/>
      <w:rPr>
        <w:b/>
      </w:rPr>
    </w:pPr>
    <w:r>
      <w:rPr>
        <w:b/>
      </w:rPr>
      <w:t>AOHS Global Health</w:t>
    </w:r>
  </w:p>
  <w:p w:rsidR="009324F9" w:rsidRPr="00CC58E3" w:rsidRDefault="007A67A6" w:rsidP="00456581">
    <w:pPr>
      <w:pStyle w:val="Headers"/>
      <w:rPr>
        <w:rFonts w:cs="Courier New"/>
        <w:color w:val="000000"/>
        <w:szCs w:val="20"/>
      </w:rPr>
    </w:pPr>
    <w:r>
      <w:rPr>
        <w:b/>
      </w:rPr>
      <w:t>Lesson 11</w:t>
    </w:r>
    <w:r w:rsidRPr="00CC58E3">
      <w:rPr>
        <w:b/>
      </w:rPr>
      <w:t xml:space="preserve"> </w:t>
    </w:r>
    <w:r>
      <w:t>Community and Policy Health Interventions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A6"/>
    <w:rsid w:val="007A67A6"/>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67A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A67A6"/>
    <w:pPr>
      <w:spacing w:before="120"/>
    </w:pPr>
  </w:style>
  <w:style w:type="character" w:customStyle="1" w:styleId="BodyTextChar">
    <w:name w:val="Body Text Char"/>
    <w:basedOn w:val="DefaultParagraphFont"/>
    <w:link w:val="BodyText"/>
    <w:rsid w:val="007A67A6"/>
    <w:rPr>
      <w:rFonts w:ascii="Arial" w:eastAsia="Times New Roman" w:hAnsi="Arial" w:cs="Times New Roman"/>
      <w:sz w:val="20"/>
    </w:rPr>
  </w:style>
  <w:style w:type="paragraph" w:customStyle="1" w:styleId="Numbered">
    <w:name w:val="Numbered"/>
    <w:basedOn w:val="Normal"/>
    <w:autoRedefine/>
    <w:rsid w:val="007A67A6"/>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7A67A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A67A6"/>
    <w:rPr>
      <w:rFonts w:ascii="Arial" w:eastAsia="Times New Roman" w:hAnsi="Arial" w:cs="AvenirLT-Heavy"/>
      <w:b/>
      <w:color w:val="27448B"/>
      <w:sz w:val="20"/>
      <w:szCs w:val="44"/>
    </w:rPr>
  </w:style>
  <w:style w:type="paragraph" w:customStyle="1" w:styleId="Instructions">
    <w:name w:val="Instructions"/>
    <w:basedOn w:val="Normal"/>
    <w:autoRedefine/>
    <w:qFormat/>
    <w:rsid w:val="007A67A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A67A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Footer">
    <w:name w:val="footer"/>
    <w:basedOn w:val="Normal"/>
    <w:link w:val="FooterChar"/>
    <w:rsid w:val="007A67A6"/>
    <w:pPr>
      <w:tabs>
        <w:tab w:val="center" w:pos="4320"/>
        <w:tab w:val="right" w:pos="8640"/>
      </w:tabs>
    </w:pPr>
    <w:rPr>
      <w:sz w:val="16"/>
    </w:rPr>
  </w:style>
  <w:style w:type="character" w:customStyle="1" w:styleId="FooterChar">
    <w:name w:val="Footer Char"/>
    <w:basedOn w:val="DefaultParagraphFont"/>
    <w:link w:val="Footer"/>
    <w:rsid w:val="007A67A6"/>
    <w:rPr>
      <w:rFonts w:ascii="Arial" w:eastAsia="Times New Roman" w:hAnsi="Arial" w:cs="Times New Roman"/>
      <w:sz w:val="16"/>
    </w:rPr>
  </w:style>
  <w:style w:type="paragraph" w:customStyle="1" w:styleId="Headers">
    <w:name w:val="Headers"/>
    <w:basedOn w:val="Normal"/>
    <w:autoRedefine/>
    <w:rsid w:val="007A67A6"/>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7A67A6"/>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BalloonText">
    <w:name w:val="Balloon Text"/>
    <w:basedOn w:val="Normal"/>
    <w:link w:val="BalloonTextChar"/>
    <w:uiPriority w:val="99"/>
    <w:semiHidden/>
    <w:unhideWhenUsed/>
    <w:rsid w:val="007A67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7A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67A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A67A6"/>
    <w:pPr>
      <w:spacing w:before="120"/>
    </w:pPr>
  </w:style>
  <w:style w:type="character" w:customStyle="1" w:styleId="BodyTextChar">
    <w:name w:val="Body Text Char"/>
    <w:basedOn w:val="DefaultParagraphFont"/>
    <w:link w:val="BodyText"/>
    <w:rsid w:val="007A67A6"/>
    <w:rPr>
      <w:rFonts w:ascii="Arial" w:eastAsia="Times New Roman" w:hAnsi="Arial" w:cs="Times New Roman"/>
      <w:sz w:val="20"/>
    </w:rPr>
  </w:style>
  <w:style w:type="paragraph" w:customStyle="1" w:styleId="Numbered">
    <w:name w:val="Numbered"/>
    <w:basedOn w:val="Normal"/>
    <w:autoRedefine/>
    <w:rsid w:val="007A67A6"/>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7A67A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A67A6"/>
    <w:rPr>
      <w:rFonts w:ascii="Arial" w:eastAsia="Times New Roman" w:hAnsi="Arial" w:cs="AvenirLT-Heavy"/>
      <w:b/>
      <w:color w:val="27448B"/>
      <w:sz w:val="20"/>
      <w:szCs w:val="44"/>
    </w:rPr>
  </w:style>
  <w:style w:type="paragraph" w:customStyle="1" w:styleId="Instructions">
    <w:name w:val="Instructions"/>
    <w:basedOn w:val="Normal"/>
    <w:autoRedefine/>
    <w:qFormat/>
    <w:rsid w:val="007A67A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A67A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Footer">
    <w:name w:val="footer"/>
    <w:basedOn w:val="Normal"/>
    <w:link w:val="FooterChar"/>
    <w:rsid w:val="007A67A6"/>
    <w:pPr>
      <w:tabs>
        <w:tab w:val="center" w:pos="4320"/>
        <w:tab w:val="right" w:pos="8640"/>
      </w:tabs>
    </w:pPr>
    <w:rPr>
      <w:sz w:val="16"/>
    </w:rPr>
  </w:style>
  <w:style w:type="character" w:customStyle="1" w:styleId="FooterChar">
    <w:name w:val="Footer Char"/>
    <w:basedOn w:val="DefaultParagraphFont"/>
    <w:link w:val="Footer"/>
    <w:rsid w:val="007A67A6"/>
    <w:rPr>
      <w:rFonts w:ascii="Arial" w:eastAsia="Times New Roman" w:hAnsi="Arial" w:cs="Times New Roman"/>
      <w:sz w:val="16"/>
    </w:rPr>
  </w:style>
  <w:style w:type="paragraph" w:customStyle="1" w:styleId="Headers">
    <w:name w:val="Headers"/>
    <w:basedOn w:val="Normal"/>
    <w:autoRedefine/>
    <w:rsid w:val="007A67A6"/>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7A67A6"/>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BalloonText">
    <w:name w:val="Balloon Text"/>
    <w:basedOn w:val="Normal"/>
    <w:link w:val="BalloonTextChar"/>
    <w:uiPriority w:val="99"/>
    <w:semiHidden/>
    <w:unhideWhenUsed/>
    <w:rsid w:val="007A67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7A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0553D-F95E-D840-A365-ECA560384244}" type="doc">
      <dgm:prSet loTypeId="urn:microsoft.com/office/officeart/2005/8/layout/venn1" loCatId="relationship" qsTypeId="urn:microsoft.com/office/officeart/2005/8/quickstyle/3d3" qsCatId="3D" csTypeId="urn:microsoft.com/office/officeart/2005/8/colors/accent2_2" csCatId="accent2" phldr="1"/>
      <dgm:spPr/>
    </dgm:pt>
    <dgm:pt modelId="{0C4BE265-481A-184E-A41F-426D773AB765}">
      <dgm:prSet phldrT="[Text]" custT="1"/>
      <dgm:spPr/>
      <dgm:t>
        <a:bodyPr anchor="t" anchorCtr="0"/>
        <a:lstStyle/>
        <a:p>
          <a:pPr algn="r"/>
          <a:endParaRPr lang="en-US" sz="1200">
            <a:solidFill>
              <a:schemeClr val="tx1">
                <a:lumMod val="50000"/>
              </a:schemeClr>
            </a:solidFill>
          </a:endParaRPr>
        </a:p>
      </dgm:t>
    </dgm:pt>
    <dgm:pt modelId="{94AF1400-1917-BC4C-9B6A-E9FD4A6D666C}" type="sibTrans" cxnId="{C4F4CD9E-635F-3F49-B421-04C800DE4F4B}">
      <dgm:prSet/>
      <dgm:spPr/>
      <dgm:t>
        <a:bodyPr/>
        <a:lstStyle/>
        <a:p>
          <a:endParaRPr lang="en-US"/>
        </a:p>
      </dgm:t>
    </dgm:pt>
    <dgm:pt modelId="{FD11605C-C375-4345-A577-9CDB051F3260}" type="parTrans" cxnId="{C4F4CD9E-635F-3F49-B421-04C800DE4F4B}">
      <dgm:prSet/>
      <dgm:spPr/>
      <dgm:t>
        <a:bodyPr/>
        <a:lstStyle/>
        <a:p>
          <a:endParaRPr lang="en-US"/>
        </a:p>
      </dgm:t>
    </dgm:pt>
    <dgm:pt modelId="{B947707D-B93F-1F43-9A8C-724ED50D772F}">
      <dgm:prSet phldrT="[Text]" custT="1"/>
      <dgm:spPr/>
      <dgm:t>
        <a:bodyPr anchor="t" anchorCtr="0"/>
        <a:lstStyle/>
        <a:p>
          <a:pPr algn="l"/>
          <a:endParaRPr lang="en-US" sz="1200">
            <a:solidFill>
              <a:schemeClr val="tx1">
                <a:lumMod val="50000"/>
              </a:schemeClr>
            </a:solidFill>
          </a:endParaRPr>
        </a:p>
      </dgm:t>
    </dgm:pt>
    <dgm:pt modelId="{D8BFAB1A-B390-D74A-9703-0AD03D669E2D}" type="sibTrans" cxnId="{D4A3817A-2739-F442-8673-4A7F80877E40}">
      <dgm:prSet/>
      <dgm:spPr/>
      <dgm:t>
        <a:bodyPr/>
        <a:lstStyle/>
        <a:p>
          <a:endParaRPr lang="en-US"/>
        </a:p>
      </dgm:t>
    </dgm:pt>
    <dgm:pt modelId="{464ACEF8-F015-9542-AA19-DA00D7CDC9E2}" type="parTrans" cxnId="{D4A3817A-2739-F442-8673-4A7F80877E40}">
      <dgm:prSet/>
      <dgm:spPr/>
      <dgm:t>
        <a:bodyPr/>
        <a:lstStyle/>
        <a:p>
          <a:endParaRPr lang="en-US"/>
        </a:p>
      </dgm:t>
    </dgm:pt>
    <dgm:pt modelId="{0A58D75A-BD4F-9440-99A2-EAC41787EAD3}" type="pres">
      <dgm:prSet presAssocID="{C320553D-F95E-D840-A365-ECA560384244}" presName="compositeShape" presStyleCnt="0">
        <dgm:presLayoutVars>
          <dgm:chMax val="7"/>
          <dgm:dir/>
          <dgm:resizeHandles val="exact"/>
        </dgm:presLayoutVars>
      </dgm:prSet>
      <dgm:spPr/>
    </dgm:pt>
    <dgm:pt modelId="{0184B2A7-C1F4-AE4C-8188-D6C6E7A5536F}" type="pres">
      <dgm:prSet presAssocID="{B947707D-B93F-1F43-9A8C-724ED50D772F}" presName="circ1" presStyleLbl="vennNode1" presStyleIdx="0" presStyleCnt="2" custScaleX="122551" custScaleY="243705" custLinFactNeighborX="-578"/>
      <dgm:spPr/>
      <dgm:t>
        <a:bodyPr/>
        <a:lstStyle/>
        <a:p>
          <a:endParaRPr lang="en-US"/>
        </a:p>
      </dgm:t>
    </dgm:pt>
    <dgm:pt modelId="{A1A6BDC1-8E3F-2041-A0FD-3988E5728D1E}" type="pres">
      <dgm:prSet presAssocID="{B947707D-B93F-1F43-9A8C-724ED50D772F}" presName="circ1Tx" presStyleLbl="revTx" presStyleIdx="0" presStyleCnt="0">
        <dgm:presLayoutVars>
          <dgm:chMax val="0"/>
          <dgm:chPref val="0"/>
          <dgm:bulletEnabled val="1"/>
        </dgm:presLayoutVars>
      </dgm:prSet>
      <dgm:spPr/>
      <dgm:t>
        <a:bodyPr/>
        <a:lstStyle/>
        <a:p>
          <a:endParaRPr lang="en-US"/>
        </a:p>
      </dgm:t>
    </dgm:pt>
    <dgm:pt modelId="{82D3BF56-4837-E749-A9A9-9427E1E55BFE}" type="pres">
      <dgm:prSet presAssocID="{0C4BE265-481A-184E-A41F-426D773AB765}" presName="circ2" presStyleLbl="vennNode1" presStyleIdx="1" presStyleCnt="2" custScaleX="118830" custScaleY="243705" custLinFactNeighborX="-3652"/>
      <dgm:spPr/>
      <dgm:t>
        <a:bodyPr/>
        <a:lstStyle/>
        <a:p>
          <a:endParaRPr lang="en-US"/>
        </a:p>
      </dgm:t>
    </dgm:pt>
    <dgm:pt modelId="{B9256672-AD6B-3445-AC1F-32005DDB22B4}" type="pres">
      <dgm:prSet presAssocID="{0C4BE265-481A-184E-A41F-426D773AB765}" presName="circ2Tx" presStyleLbl="revTx" presStyleIdx="0" presStyleCnt="0">
        <dgm:presLayoutVars>
          <dgm:chMax val="0"/>
          <dgm:chPref val="0"/>
          <dgm:bulletEnabled val="1"/>
        </dgm:presLayoutVars>
      </dgm:prSet>
      <dgm:spPr/>
      <dgm:t>
        <a:bodyPr/>
        <a:lstStyle/>
        <a:p>
          <a:endParaRPr lang="en-US"/>
        </a:p>
      </dgm:t>
    </dgm:pt>
  </dgm:ptLst>
  <dgm:cxnLst>
    <dgm:cxn modelId="{DA690095-FCDA-4A4C-9D7E-59308C5C29AA}" type="presOf" srcId="{0C4BE265-481A-184E-A41F-426D773AB765}" destId="{82D3BF56-4837-E749-A9A9-9427E1E55BFE}" srcOrd="0" destOrd="0" presId="urn:microsoft.com/office/officeart/2005/8/layout/venn1"/>
    <dgm:cxn modelId="{6B6B9410-2B2B-C549-9381-64EB2195CAFE}" type="presOf" srcId="{B947707D-B93F-1F43-9A8C-724ED50D772F}" destId="{0184B2A7-C1F4-AE4C-8188-D6C6E7A5536F}" srcOrd="0" destOrd="0" presId="urn:microsoft.com/office/officeart/2005/8/layout/venn1"/>
    <dgm:cxn modelId="{3B5E0B48-A69C-7E48-B2DE-E1E15C6C8719}" type="presOf" srcId="{B947707D-B93F-1F43-9A8C-724ED50D772F}" destId="{A1A6BDC1-8E3F-2041-A0FD-3988E5728D1E}" srcOrd="1" destOrd="0" presId="urn:microsoft.com/office/officeart/2005/8/layout/venn1"/>
    <dgm:cxn modelId="{97BE6262-6FD8-104D-83F9-0C7FF0A4751A}" type="presOf" srcId="{0C4BE265-481A-184E-A41F-426D773AB765}" destId="{B9256672-AD6B-3445-AC1F-32005DDB22B4}" srcOrd="1" destOrd="0" presId="urn:microsoft.com/office/officeart/2005/8/layout/venn1"/>
    <dgm:cxn modelId="{C4F4CD9E-635F-3F49-B421-04C800DE4F4B}" srcId="{C320553D-F95E-D840-A365-ECA560384244}" destId="{0C4BE265-481A-184E-A41F-426D773AB765}" srcOrd="1" destOrd="0" parTransId="{FD11605C-C375-4345-A577-9CDB051F3260}" sibTransId="{94AF1400-1917-BC4C-9B6A-E9FD4A6D666C}"/>
    <dgm:cxn modelId="{D4A3817A-2739-F442-8673-4A7F80877E40}" srcId="{C320553D-F95E-D840-A365-ECA560384244}" destId="{B947707D-B93F-1F43-9A8C-724ED50D772F}" srcOrd="0" destOrd="0" parTransId="{464ACEF8-F015-9542-AA19-DA00D7CDC9E2}" sibTransId="{D8BFAB1A-B390-D74A-9703-0AD03D669E2D}"/>
    <dgm:cxn modelId="{9E75EE1A-19CA-9145-BD25-679270F0E148}" type="presOf" srcId="{C320553D-F95E-D840-A365-ECA560384244}" destId="{0A58D75A-BD4F-9440-99A2-EAC41787EAD3}" srcOrd="0" destOrd="0" presId="urn:microsoft.com/office/officeart/2005/8/layout/venn1"/>
    <dgm:cxn modelId="{A5310D91-0B6E-8041-A847-F8DA8782F0A5}" type="presParOf" srcId="{0A58D75A-BD4F-9440-99A2-EAC41787EAD3}" destId="{0184B2A7-C1F4-AE4C-8188-D6C6E7A5536F}" srcOrd="0" destOrd="0" presId="urn:microsoft.com/office/officeart/2005/8/layout/venn1"/>
    <dgm:cxn modelId="{9CAD4FF4-C96D-F54D-B146-254D2A4E00C5}" type="presParOf" srcId="{0A58D75A-BD4F-9440-99A2-EAC41787EAD3}" destId="{A1A6BDC1-8E3F-2041-A0FD-3988E5728D1E}" srcOrd="1" destOrd="0" presId="urn:microsoft.com/office/officeart/2005/8/layout/venn1"/>
    <dgm:cxn modelId="{AFB0F384-D8EB-4147-971B-DE4A5A22C02A}" type="presParOf" srcId="{0A58D75A-BD4F-9440-99A2-EAC41787EAD3}" destId="{82D3BF56-4837-E749-A9A9-9427E1E55BFE}" srcOrd="2" destOrd="0" presId="urn:microsoft.com/office/officeart/2005/8/layout/venn1"/>
    <dgm:cxn modelId="{11EE5F70-3243-B245-AF98-3E8CF5444872}" type="presParOf" srcId="{0A58D75A-BD4F-9440-99A2-EAC41787EAD3}" destId="{B9256672-AD6B-3445-AC1F-32005DDB22B4}"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4B2A7-C1F4-AE4C-8188-D6C6E7A5536F}">
      <dsp:nvSpPr>
        <dsp:cNvPr id="0" name=""/>
        <dsp:cNvSpPr/>
      </dsp:nvSpPr>
      <dsp:spPr>
        <a:xfrm>
          <a:off x="-174602" y="23357"/>
          <a:ext cx="3401215" cy="6763659"/>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l" defTabSz="533400">
            <a:lnSpc>
              <a:spcPct val="90000"/>
            </a:lnSpc>
            <a:spcBef>
              <a:spcPct val="0"/>
            </a:spcBef>
            <a:spcAft>
              <a:spcPct val="35000"/>
            </a:spcAft>
          </a:pPr>
          <a:endParaRPr lang="en-US" sz="1200" kern="1200">
            <a:solidFill>
              <a:schemeClr val="tx1">
                <a:lumMod val="50000"/>
              </a:schemeClr>
            </a:solidFill>
          </a:endParaRPr>
        </a:p>
      </dsp:txBody>
      <dsp:txXfrm>
        <a:off x="300341" y="820938"/>
        <a:ext cx="1961061" cy="5168497"/>
      </dsp:txXfrm>
    </dsp:sp>
    <dsp:sp modelId="{82D3BF56-4837-E749-A9A9-9427E1E55BFE}">
      <dsp:nvSpPr>
        <dsp:cNvPr id="0" name=""/>
        <dsp:cNvSpPr/>
      </dsp:nvSpPr>
      <dsp:spPr>
        <a:xfrm>
          <a:off x="1775927" y="23357"/>
          <a:ext cx="3297944" cy="6763659"/>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r" defTabSz="533400">
            <a:lnSpc>
              <a:spcPct val="90000"/>
            </a:lnSpc>
            <a:spcBef>
              <a:spcPct val="0"/>
            </a:spcBef>
            <a:spcAft>
              <a:spcPct val="35000"/>
            </a:spcAft>
          </a:pPr>
          <a:endParaRPr lang="en-US" sz="1200" kern="1200">
            <a:solidFill>
              <a:schemeClr val="tx1">
                <a:lumMod val="50000"/>
              </a:schemeClr>
            </a:solidFill>
          </a:endParaRPr>
        </a:p>
      </dsp:txBody>
      <dsp:txXfrm>
        <a:off x="2711830" y="820938"/>
        <a:ext cx="1901517" cy="516849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2750</Characters>
  <Application>Microsoft Macintosh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2015-11-22T15:30:00Z</dcterms:created>
  <dcterms:modified xsi:type="dcterms:W3CDTF">2015-11-22T15:31:00Z</dcterms:modified>
</cp:coreProperties>
</file>