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3D7" w:rsidRPr="00CC58E3" w:rsidRDefault="006133D7" w:rsidP="006133D7">
      <w:pPr>
        <w:pStyle w:val="ResourceNo"/>
      </w:pPr>
      <w:r>
        <w:t>Student Resource 3.1</w:t>
      </w:r>
    </w:p>
    <w:p w:rsidR="006133D7" w:rsidRDefault="006133D7" w:rsidP="006133D7">
      <w:pPr>
        <w:pStyle w:val="ResourceTitle"/>
      </w:pPr>
      <w:r>
        <w:t>Investigation</w:t>
      </w:r>
      <w:r w:rsidRPr="00C70174">
        <w:t xml:space="preserve">: </w:t>
      </w:r>
      <w:r>
        <w:t>The Chain of Infection</w:t>
      </w:r>
    </w:p>
    <w:p w:rsidR="006133D7" w:rsidRDefault="006133D7" w:rsidP="006133D7">
      <w:pPr>
        <w:pStyle w:val="Instructions"/>
      </w:pPr>
      <w:r>
        <w:t xml:space="preserve">Directions: Read the story below and think about how infection can be passed along a chain, from one person or object to another. Then study the chart on the next page of this resource that describes the chain of infection, and match up elements from the story with links in the chain of infection. Throughout the course, refer to this resource when you need information about the chain of infection. </w:t>
      </w:r>
    </w:p>
    <w:p w:rsidR="006133D7" w:rsidRDefault="006133D7" w:rsidP="006133D7">
      <w:pPr>
        <w:pStyle w:val="H1"/>
      </w:pPr>
      <w:r>
        <w:t>The Chain of Infection in Everyday Life</w:t>
      </w:r>
    </w:p>
    <w:p w:rsidR="006133D7" w:rsidRDefault="006133D7" w:rsidP="006133D7">
      <w:pPr>
        <w:pStyle w:val="BodyText"/>
      </w:pPr>
      <w:r>
        <w:t>On Saturday Angela woke up with a cold, but she still decided to go to her weekend job at a popular lunch restaurant.</w:t>
      </w:r>
    </w:p>
    <w:p w:rsidR="006133D7" w:rsidRDefault="006133D7" w:rsidP="006133D7">
      <w:pPr>
        <w:pStyle w:val="BodyText"/>
      </w:pPr>
      <w:r>
        <w:t>Angela kept tissues in her back pocket and blew her nose as she worked. When she ran out of tissues, she just wiped her nose on the back of her sleeve. Throughout the busy lunch hour, Angela refilled ingredients in the salad bar, like shredded carrots and sliced tomatoes. She didn’t wear gloves, and she didn’t wash her hands until the end of her shift.</w:t>
      </w:r>
    </w:p>
    <w:p w:rsidR="006133D7" w:rsidRDefault="006133D7" w:rsidP="006133D7">
      <w:pPr>
        <w:pStyle w:val="BodyText"/>
      </w:pPr>
      <w:r>
        <w:t>Tony came into the restaurant. Angela knew him from school. She waved at him before going into the kitchen to get some more spinach.</w:t>
      </w:r>
    </w:p>
    <w:p w:rsidR="006133D7" w:rsidRDefault="006133D7" w:rsidP="006133D7">
      <w:pPr>
        <w:pStyle w:val="BodyText"/>
      </w:pPr>
      <w:r>
        <w:t>Tony was really hungry, so he grabbed an empty plate and piled up lettuce, carrots, beans, and avocado from the salad bar. His salad was delicious.</w:t>
      </w:r>
    </w:p>
    <w:p w:rsidR="006133D7" w:rsidRDefault="006133D7" w:rsidP="006133D7">
      <w:pPr>
        <w:pStyle w:val="BodyText"/>
      </w:pPr>
      <w:r>
        <w:t xml:space="preserve">Two days later, Tony woke up with a sore throat and a stuffy nose. He couldn’t figure out how he got sick. </w:t>
      </w:r>
    </w:p>
    <w:p w:rsidR="006133D7" w:rsidRDefault="006133D7" w:rsidP="006133D7">
      <w:pPr>
        <w:pStyle w:val="H2"/>
      </w:pPr>
      <w:r>
        <w:lastRenderedPageBreak/>
        <w:t>The Chain of Infection</w:t>
      </w:r>
    </w:p>
    <w:p w:rsidR="006133D7" w:rsidRDefault="006133D7" w:rsidP="006133D7">
      <w:pPr>
        <w:pStyle w:val="H2"/>
      </w:pPr>
    </w:p>
    <w:tbl>
      <w:tblPr>
        <w:tblStyle w:val="TableGrid"/>
        <w:tblW w:w="0" w:type="auto"/>
        <w:tblLook w:val="04A0" w:firstRow="1" w:lastRow="0" w:firstColumn="1" w:lastColumn="0" w:noHBand="0" w:noVBand="1"/>
      </w:tblPr>
      <w:tblGrid>
        <w:gridCol w:w="2816"/>
        <w:gridCol w:w="6040"/>
      </w:tblGrid>
      <w:tr w:rsidR="006133D7" w:rsidTr="00572FEE">
        <w:trPr>
          <w:cantSplit/>
        </w:trPr>
        <w:tc>
          <w:tcPr>
            <w:tcW w:w="4248" w:type="dxa"/>
            <w:tcBorders>
              <w:top w:val="nil"/>
              <w:left w:val="nil"/>
              <w:bottom w:val="nil"/>
              <w:right w:val="single" w:sz="4" w:space="0" w:color="auto"/>
            </w:tcBorders>
          </w:tcPr>
          <w:p w:rsidR="006133D7" w:rsidRDefault="006133D7" w:rsidP="00572FEE">
            <w:pPr>
              <w:pStyle w:val="BodyText"/>
            </w:pPr>
            <w:r>
              <w:t>The chain of infection has six links, as shown in this illustration. If the chain is broken at any point, infection will not occur. The table below tells about each link in the chain. Read the description of each link, and then fill in the third column with an example of the link from the story you read. The first one has been completed for you.</w:t>
            </w:r>
          </w:p>
          <w:p w:rsidR="006133D7" w:rsidRDefault="006133D7" w:rsidP="00572FEE">
            <w:pPr>
              <w:pStyle w:val="Indent"/>
            </w:pPr>
          </w:p>
        </w:tc>
        <w:tc>
          <w:tcPr>
            <w:tcW w:w="5328" w:type="dxa"/>
            <w:tcBorders>
              <w:left w:val="single" w:sz="4" w:space="0" w:color="auto"/>
            </w:tcBorders>
          </w:tcPr>
          <w:p w:rsidR="006133D7" w:rsidRDefault="006133D7" w:rsidP="00572FEE">
            <w:pPr>
              <w:pStyle w:val="Indent"/>
            </w:pPr>
          </w:p>
          <w:p w:rsidR="006133D7" w:rsidRDefault="006133D7" w:rsidP="00572FEE">
            <w:pPr>
              <w:pStyle w:val="Indent"/>
            </w:pPr>
            <w:r>
              <w:rPr>
                <w:noProof/>
              </w:rPr>
              <w:drawing>
                <wp:inline distT="0" distB="0" distL="0" distR="0" wp14:anchorId="7CD6CD68" wp14:editId="5792FD26">
                  <wp:extent cx="3295650" cy="1943100"/>
                  <wp:effectExtent l="0" t="0" r="0" b="0"/>
                  <wp:docPr id="14" name="Picture 14" descr="http://scioly.org/wiki/images/8/8d/Chainofinfec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oly.org/wiki/images/8/8d/Chainofinfectio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95650" cy="1943100"/>
                          </a:xfrm>
                          <a:prstGeom prst="rect">
                            <a:avLst/>
                          </a:prstGeom>
                          <a:noFill/>
                          <a:ln>
                            <a:noFill/>
                          </a:ln>
                        </pic:spPr>
                      </pic:pic>
                    </a:graphicData>
                  </a:graphic>
                </wp:inline>
              </w:drawing>
            </w:r>
          </w:p>
          <w:p w:rsidR="006133D7" w:rsidRDefault="006133D7" w:rsidP="00572FEE">
            <w:pPr>
              <w:pStyle w:val="Indent"/>
            </w:pPr>
          </w:p>
          <w:p w:rsidR="006133D7" w:rsidRDefault="006133D7" w:rsidP="00572FEE">
            <w:pPr>
              <w:pStyle w:val="Indent"/>
            </w:pPr>
          </w:p>
          <w:p w:rsidR="006133D7" w:rsidRDefault="006133D7" w:rsidP="00572FEE">
            <w:pPr>
              <w:pStyle w:val="Indent"/>
            </w:pPr>
          </w:p>
          <w:p w:rsidR="006133D7" w:rsidRDefault="006133D7" w:rsidP="00572FEE">
            <w:pPr>
              <w:pStyle w:val="Indent"/>
            </w:pPr>
          </w:p>
          <w:p w:rsidR="006133D7" w:rsidRDefault="006133D7" w:rsidP="00572FEE">
            <w:pPr>
              <w:pStyle w:val="Indent"/>
            </w:pPr>
          </w:p>
          <w:p w:rsidR="006133D7" w:rsidRDefault="006133D7" w:rsidP="00572FEE">
            <w:pPr>
              <w:pStyle w:val="Indent"/>
            </w:pPr>
          </w:p>
        </w:tc>
      </w:tr>
    </w:tbl>
    <w:p w:rsidR="006133D7" w:rsidRDefault="006133D7" w:rsidP="006133D7">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ADCEE"/>
        <w:tblCellMar>
          <w:top w:w="58" w:type="dxa"/>
          <w:left w:w="58" w:type="dxa"/>
          <w:bottom w:w="58" w:type="dxa"/>
          <w:right w:w="58" w:type="dxa"/>
        </w:tblCellMar>
        <w:tblLook w:val="01E0" w:firstRow="1" w:lastRow="1" w:firstColumn="1" w:lastColumn="1" w:noHBand="0" w:noVBand="0"/>
      </w:tblPr>
      <w:tblGrid>
        <w:gridCol w:w="1703"/>
        <w:gridCol w:w="4044"/>
        <w:gridCol w:w="3009"/>
      </w:tblGrid>
      <w:tr w:rsidR="006133D7" w:rsidRPr="007243A5" w:rsidTr="00572FEE">
        <w:trPr>
          <w:tblHeader/>
        </w:trPr>
        <w:tc>
          <w:tcPr>
            <w:tcW w:w="1768" w:type="dxa"/>
            <w:shd w:val="clear" w:color="auto" w:fill="CADCEE"/>
            <w:tcMar>
              <w:top w:w="58" w:type="dxa"/>
              <w:left w:w="58" w:type="dxa"/>
              <w:bottom w:w="58" w:type="dxa"/>
              <w:right w:w="58" w:type="dxa"/>
            </w:tcMar>
          </w:tcPr>
          <w:p w:rsidR="006133D7" w:rsidRPr="00C14A47" w:rsidRDefault="006133D7" w:rsidP="00572FEE">
            <w:pPr>
              <w:pStyle w:val="TableHeadingsBlack"/>
              <w:rPr>
                <w:bCs/>
              </w:rPr>
            </w:pPr>
            <w:r>
              <w:rPr>
                <w:bCs/>
              </w:rPr>
              <w:t>Link in the Chain of Infection</w:t>
            </w:r>
          </w:p>
        </w:tc>
        <w:tc>
          <w:tcPr>
            <w:tcW w:w="4410" w:type="dxa"/>
            <w:shd w:val="clear" w:color="auto" w:fill="CADCEE"/>
          </w:tcPr>
          <w:p w:rsidR="006133D7" w:rsidRPr="007243A5" w:rsidRDefault="006133D7" w:rsidP="00572FEE">
            <w:pPr>
              <w:pStyle w:val="TableHeadingsBlack"/>
            </w:pPr>
            <w:r>
              <w:t>What It Is/What It Does</w:t>
            </w:r>
          </w:p>
        </w:tc>
        <w:tc>
          <w:tcPr>
            <w:tcW w:w="3298" w:type="dxa"/>
            <w:shd w:val="clear" w:color="auto" w:fill="CADCEE"/>
          </w:tcPr>
          <w:p w:rsidR="006133D7" w:rsidRDefault="006133D7" w:rsidP="00572FEE">
            <w:pPr>
              <w:pStyle w:val="TableHeadingsBlack"/>
            </w:pPr>
            <w:r>
              <w:t>Example from the Story</w:t>
            </w:r>
          </w:p>
        </w:tc>
      </w:tr>
      <w:tr w:rsidR="006133D7" w:rsidTr="00572FEE">
        <w:tblPrEx>
          <w:shd w:val="clear" w:color="auto" w:fill="auto"/>
        </w:tblPrEx>
        <w:tc>
          <w:tcPr>
            <w:tcW w:w="1768" w:type="dxa"/>
            <w:tcMar>
              <w:top w:w="58" w:type="dxa"/>
              <w:left w:w="58" w:type="dxa"/>
              <w:bottom w:w="58" w:type="dxa"/>
              <w:right w:w="58" w:type="dxa"/>
            </w:tcMar>
          </w:tcPr>
          <w:p w:rsidR="006133D7" w:rsidRDefault="006133D7" w:rsidP="00572FEE">
            <w:pPr>
              <w:pStyle w:val="TableText"/>
            </w:pPr>
            <w:r>
              <w:t>Infectious agent</w:t>
            </w:r>
          </w:p>
        </w:tc>
        <w:tc>
          <w:tcPr>
            <w:tcW w:w="4410" w:type="dxa"/>
          </w:tcPr>
          <w:p w:rsidR="006133D7" w:rsidRDefault="006133D7" w:rsidP="00572FEE">
            <w:pPr>
              <w:pStyle w:val="TableText"/>
            </w:pPr>
            <w:r>
              <w:t>Any microorganism capable of producing an infection (bacteria, virus, fungus, etc.).</w:t>
            </w:r>
          </w:p>
        </w:tc>
        <w:tc>
          <w:tcPr>
            <w:tcW w:w="3298" w:type="dxa"/>
          </w:tcPr>
          <w:p w:rsidR="006133D7" w:rsidRDefault="006133D7" w:rsidP="00572FEE">
            <w:pPr>
              <w:pStyle w:val="Instructions"/>
            </w:pPr>
            <w:r w:rsidRPr="004720EE">
              <w:t>Angela’s cold germs</w:t>
            </w:r>
          </w:p>
        </w:tc>
      </w:tr>
      <w:tr w:rsidR="006133D7" w:rsidTr="00572FEE">
        <w:tblPrEx>
          <w:shd w:val="clear" w:color="auto" w:fill="auto"/>
        </w:tblPrEx>
        <w:tc>
          <w:tcPr>
            <w:tcW w:w="1768" w:type="dxa"/>
            <w:tcMar>
              <w:top w:w="58" w:type="dxa"/>
              <w:left w:w="58" w:type="dxa"/>
              <w:bottom w:w="58" w:type="dxa"/>
              <w:right w:w="58" w:type="dxa"/>
            </w:tcMar>
          </w:tcPr>
          <w:p w:rsidR="006133D7" w:rsidRDefault="006133D7" w:rsidP="00572FEE">
            <w:pPr>
              <w:pStyle w:val="TableText"/>
            </w:pPr>
            <w:r>
              <w:t>Reservoir</w:t>
            </w:r>
          </w:p>
        </w:tc>
        <w:tc>
          <w:tcPr>
            <w:tcW w:w="4410" w:type="dxa"/>
          </w:tcPr>
          <w:p w:rsidR="006133D7" w:rsidRDefault="006133D7" w:rsidP="00572FEE">
            <w:pPr>
              <w:pStyle w:val="TableText"/>
            </w:pPr>
            <w:r>
              <w:t>Where the microorganism lives—it could be within the human body, in food or water, or in waste products like feces.</w:t>
            </w:r>
          </w:p>
        </w:tc>
        <w:tc>
          <w:tcPr>
            <w:tcW w:w="3298" w:type="dxa"/>
          </w:tcPr>
          <w:p w:rsidR="006133D7" w:rsidRDefault="006133D7" w:rsidP="00572FEE">
            <w:pPr>
              <w:pStyle w:val="TableText"/>
            </w:pPr>
          </w:p>
        </w:tc>
      </w:tr>
      <w:tr w:rsidR="006133D7" w:rsidTr="00572FEE">
        <w:tblPrEx>
          <w:shd w:val="clear" w:color="auto" w:fill="auto"/>
        </w:tblPrEx>
        <w:tc>
          <w:tcPr>
            <w:tcW w:w="1768" w:type="dxa"/>
            <w:tcMar>
              <w:top w:w="58" w:type="dxa"/>
              <w:left w:w="58" w:type="dxa"/>
              <w:bottom w:w="58" w:type="dxa"/>
              <w:right w:w="58" w:type="dxa"/>
            </w:tcMar>
          </w:tcPr>
          <w:p w:rsidR="006133D7" w:rsidRDefault="006133D7" w:rsidP="00572FEE">
            <w:pPr>
              <w:pStyle w:val="TableText"/>
            </w:pPr>
            <w:r>
              <w:t>Portal of exit</w:t>
            </w:r>
          </w:p>
        </w:tc>
        <w:tc>
          <w:tcPr>
            <w:tcW w:w="4410" w:type="dxa"/>
          </w:tcPr>
          <w:p w:rsidR="006133D7" w:rsidRDefault="006133D7" w:rsidP="00572FEE">
            <w:pPr>
              <w:pStyle w:val="TableText"/>
            </w:pPr>
            <w:r>
              <w:t>How the microorganism leaves the reservoir. In the human body, portals of exit include mouth, nose, genitals, or open wounds.</w:t>
            </w:r>
          </w:p>
        </w:tc>
        <w:tc>
          <w:tcPr>
            <w:tcW w:w="3298" w:type="dxa"/>
          </w:tcPr>
          <w:p w:rsidR="006133D7" w:rsidRDefault="006133D7" w:rsidP="00572FEE">
            <w:pPr>
              <w:pStyle w:val="TableText"/>
            </w:pPr>
          </w:p>
        </w:tc>
      </w:tr>
      <w:tr w:rsidR="006133D7" w:rsidTr="00572FEE">
        <w:tblPrEx>
          <w:shd w:val="clear" w:color="auto" w:fill="auto"/>
        </w:tblPrEx>
        <w:tc>
          <w:tcPr>
            <w:tcW w:w="1768" w:type="dxa"/>
            <w:tcMar>
              <w:top w:w="58" w:type="dxa"/>
              <w:left w:w="58" w:type="dxa"/>
              <w:bottom w:w="58" w:type="dxa"/>
              <w:right w:w="58" w:type="dxa"/>
            </w:tcMar>
          </w:tcPr>
          <w:p w:rsidR="006133D7" w:rsidRDefault="006133D7" w:rsidP="00572FEE">
            <w:pPr>
              <w:pStyle w:val="TableText"/>
            </w:pPr>
            <w:r>
              <w:t>Mode of transmission</w:t>
            </w:r>
          </w:p>
        </w:tc>
        <w:tc>
          <w:tcPr>
            <w:tcW w:w="4410" w:type="dxa"/>
          </w:tcPr>
          <w:p w:rsidR="006133D7" w:rsidRDefault="006133D7" w:rsidP="00572FEE">
            <w:pPr>
              <w:pStyle w:val="TableText"/>
            </w:pPr>
            <w:r>
              <w:t>How the microorganism gets from one place to another. This can include direct contact between people, airborne transmission (through sneezing or coughing), or transmission by an inanimate object (for example, a medical instrument that is not sterilized).</w:t>
            </w:r>
          </w:p>
        </w:tc>
        <w:tc>
          <w:tcPr>
            <w:tcW w:w="3298" w:type="dxa"/>
          </w:tcPr>
          <w:p w:rsidR="006133D7" w:rsidRDefault="006133D7" w:rsidP="00572FEE">
            <w:pPr>
              <w:pStyle w:val="TableText"/>
            </w:pPr>
          </w:p>
        </w:tc>
      </w:tr>
      <w:tr w:rsidR="006133D7" w:rsidTr="00572FEE">
        <w:tblPrEx>
          <w:shd w:val="clear" w:color="auto" w:fill="auto"/>
        </w:tblPrEx>
        <w:tc>
          <w:tcPr>
            <w:tcW w:w="1768" w:type="dxa"/>
            <w:tcMar>
              <w:top w:w="58" w:type="dxa"/>
              <w:left w:w="58" w:type="dxa"/>
              <w:bottom w:w="58" w:type="dxa"/>
              <w:right w:w="58" w:type="dxa"/>
            </w:tcMar>
          </w:tcPr>
          <w:p w:rsidR="006133D7" w:rsidRDefault="006133D7" w:rsidP="00572FEE">
            <w:pPr>
              <w:pStyle w:val="TableText"/>
            </w:pPr>
            <w:r>
              <w:t>Portal of entry</w:t>
            </w:r>
          </w:p>
        </w:tc>
        <w:tc>
          <w:tcPr>
            <w:tcW w:w="4410" w:type="dxa"/>
          </w:tcPr>
          <w:p w:rsidR="006133D7" w:rsidRDefault="006133D7" w:rsidP="00572FEE">
            <w:pPr>
              <w:pStyle w:val="TableText"/>
            </w:pPr>
            <w:r>
              <w:t>How the microorganism enters a new body—for example, through an open wound or the mucous membranes.</w:t>
            </w:r>
          </w:p>
        </w:tc>
        <w:tc>
          <w:tcPr>
            <w:tcW w:w="3298" w:type="dxa"/>
          </w:tcPr>
          <w:p w:rsidR="006133D7" w:rsidRDefault="006133D7" w:rsidP="00572FEE">
            <w:pPr>
              <w:pStyle w:val="TableText"/>
            </w:pPr>
          </w:p>
        </w:tc>
      </w:tr>
      <w:tr w:rsidR="006133D7" w:rsidTr="00572FEE">
        <w:tblPrEx>
          <w:shd w:val="clear" w:color="auto" w:fill="auto"/>
        </w:tblPrEx>
        <w:tc>
          <w:tcPr>
            <w:tcW w:w="1768" w:type="dxa"/>
            <w:tcMar>
              <w:top w:w="58" w:type="dxa"/>
              <w:left w:w="58" w:type="dxa"/>
              <w:bottom w:w="58" w:type="dxa"/>
              <w:right w:w="58" w:type="dxa"/>
            </w:tcMar>
          </w:tcPr>
          <w:p w:rsidR="006133D7" w:rsidRDefault="006133D7" w:rsidP="00572FEE">
            <w:pPr>
              <w:pStyle w:val="TableText"/>
            </w:pPr>
            <w:r>
              <w:t>Susceptible host</w:t>
            </w:r>
          </w:p>
        </w:tc>
        <w:tc>
          <w:tcPr>
            <w:tcW w:w="4410" w:type="dxa"/>
          </w:tcPr>
          <w:p w:rsidR="006133D7" w:rsidRDefault="006133D7" w:rsidP="00572FEE">
            <w:pPr>
              <w:pStyle w:val="TableText"/>
            </w:pPr>
            <w:r>
              <w:t>Person who carries an infection. This person may or may not show signs of illness.</w:t>
            </w:r>
          </w:p>
        </w:tc>
        <w:tc>
          <w:tcPr>
            <w:tcW w:w="3298" w:type="dxa"/>
          </w:tcPr>
          <w:p w:rsidR="006133D7" w:rsidRDefault="006133D7" w:rsidP="00572FEE">
            <w:pPr>
              <w:pStyle w:val="TableText"/>
            </w:pPr>
          </w:p>
        </w:tc>
      </w:tr>
    </w:tbl>
    <w:p w:rsidR="006133D7" w:rsidRPr="00AA4FD3" w:rsidRDefault="006133D7" w:rsidP="006133D7">
      <w:pPr>
        <w:pStyle w:val="BodyText"/>
      </w:pPr>
    </w:p>
    <w:p w:rsidR="007D5B53" w:rsidRDefault="007D5B53">
      <w:bookmarkStart w:id="0" w:name="_GoBack"/>
      <w:bookmarkEnd w:id="0"/>
    </w:p>
    <w:sectPr w:rsidR="007D5B53" w:rsidSect="007D5B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AvenirLT-Heavy">
    <w:altName w:val="Cambria"/>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3D7"/>
    <w:rsid w:val="006133D7"/>
    <w:rsid w:val="007D5B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B098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133D7"/>
    <w:pPr>
      <w:spacing w:after="120" w:line="240" w:lineRule="atLeast"/>
      <w:ind w:left="576" w:hanging="576"/>
    </w:pPr>
    <w:rPr>
      <w:rFonts w:ascii="Arial" w:eastAsia="Times New Roman" w:hAnsi="Arial"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6133D7"/>
    <w:pPr>
      <w:tabs>
        <w:tab w:val="left" w:pos="1080"/>
      </w:tabs>
      <w:suppressAutoHyphens/>
      <w:autoSpaceDE w:val="0"/>
      <w:autoSpaceDN w:val="0"/>
      <w:adjustRightInd w:val="0"/>
      <w:spacing w:before="120" w:line="240" w:lineRule="auto"/>
      <w:ind w:left="0" w:firstLine="0"/>
      <w:textAlignment w:val="center"/>
    </w:pPr>
    <w:rPr>
      <w:rFonts w:cs="Arial"/>
      <w:color w:val="000000"/>
    </w:rPr>
  </w:style>
  <w:style w:type="character" w:customStyle="1" w:styleId="BodyTextChar">
    <w:name w:val="Body Text Char"/>
    <w:basedOn w:val="DefaultParagraphFont"/>
    <w:link w:val="BodyText"/>
    <w:rsid w:val="006133D7"/>
    <w:rPr>
      <w:rFonts w:ascii="Arial" w:eastAsia="Times New Roman" w:hAnsi="Arial" w:cs="Arial"/>
      <w:color w:val="000000"/>
      <w:sz w:val="20"/>
    </w:rPr>
  </w:style>
  <w:style w:type="paragraph" w:customStyle="1" w:styleId="TableText">
    <w:name w:val="Table Text"/>
    <w:basedOn w:val="BodyText"/>
    <w:autoRedefine/>
    <w:qFormat/>
    <w:rsid w:val="006133D7"/>
    <w:pPr>
      <w:tabs>
        <w:tab w:val="clear" w:pos="1080"/>
      </w:tabs>
    </w:pPr>
    <w:rPr>
      <w:rFonts w:cs="Tahoma"/>
    </w:rPr>
  </w:style>
  <w:style w:type="paragraph" w:customStyle="1" w:styleId="ResourceNo">
    <w:name w:val="ResourceNo"/>
    <w:basedOn w:val="Normal"/>
    <w:next w:val="ResourceTitle"/>
    <w:link w:val="ResourceNoChar"/>
    <w:autoRedefine/>
    <w:qFormat/>
    <w:rsid w:val="006133D7"/>
    <w:pPr>
      <w:pageBreakBefore/>
      <w:widowControl w:val="0"/>
      <w:suppressAutoHyphens/>
      <w:autoSpaceDE w:val="0"/>
      <w:autoSpaceDN w:val="0"/>
      <w:adjustRightInd w:val="0"/>
      <w:spacing w:before="120" w:line="240" w:lineRule="auto"/>
      <w:jc w:val="center"/>
      <w:textAlignment w:val="center"/>
    </w:pPr>
    <w:rPr>
      <w:rFonts w:cs="AvenirLT-Heavy"/>
      <w:b/>
      <w:color w:val="27448B"/>
      <w:szCs w:val="44"/>
    </w:rPr>
  </w:style>
  <w:style w:type="character" w:customStyle="1" w:styleId="ResourceNoChar">
    <w:name w:val="ResourceNo Char"/>
    <w:basedOn w:val="DefaultParagraphFont"/>
    <w:link w:val="ResourceNo"/>
    <w:locked/>
    <w:rsid w:val="006133D7"/>
    <w:rPr>
      <w:rFonts w:ascii="Arial" w:eastAsia="Times New Roman" w:hAnsi="Arial" w:cs="AvenirLT-Heavy"/>
      <w:b/>
      <w:color w:val="27448B"/>
      <w:sz w:val="20"/>
      <w:szCs w:val="44"/>
    </w:rPr>
  </w:style>
  <w:style w:type="table" w:styleId="TableGrid">
    <w:name w:val="Table Grid"/>
    <w:basedOn w:val="TableNormal"/>
    <w:rsid w:val="006133D7"/>
    <w:pPr>
      <w:spacing w:after="120" w:line="240" w:lineRule="atLeas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sourceTitle">
    <w:name w:val="Resource Title"/>
    <w:basedOn w:val="Normal"/>
    <w:next w:val="BodyText"/>
    <w:autoRedefine/>
    <w:qFormat/>
    <w:rsid w:val="006133D7"/>
    <w:pPr>
      <w:widowControl w:val="0"/>
      <w:suppressAutoHyphens/>
      <w:autoSpaceDE w:val="0"/>
      <w:autoSpaceDN w:val="0"/>
      <w:adjustRightInd w:val="0"/>
      <w:spacing w:after="240" w:line="240" w:lineRule="auto"/>
      <w:ind w:left="0" w:firstLine="0"/>
      <w:jc w:val="center"/>
      <w:textAlignment w:val="center"/>
    </w:pPr>
    <w:rPr>
      <w:rFonts w:cs="AvenirLT-Heavy"/>
      <w:b/>
      <w:color w:val="27448B"/>
      <w:sz w:val="36"/>
      <w:szCs w:val="36"/>
    </w:rPr>
  </w:style>
  <w:style w:type="paragraph" w:customStyle="1" w:styleId="H1">
    <w:name w:val="H1"/>
    <w:basedOn w:val="Normal"/>
    <w:autoRedefine/>
    <w:qFormat/>
    <w:rsid w:val="006133D7"/>
    <w:pPr>
      <w:keepNext/>
      <w:widowControl w:val="0"/>
      <w:pBdr>
        <w:top w:val="single" w:sz="24" w:space="3" w:color="27448B"/>
      </w:pBdr>
      <w:suppressAutoHyphens/>
      <w:autoSpaceDE w:val="0"/>
      <w:autoSpaceDN w:val="0"/>
      <w:adjustRightInd w:val="0"/>
      <w:spacing w:before="240" w:line="240" w:lineRule="auto"/>
      <w:ind w:left="0" w:firstLine="0"/>
      <w:textAlignment w:val="center"/>
    </w:pPr>
    <w:rPr>
      <w:rFonts w:cs="AvenirLT-Heavy"/>
      <w:b/>
      <w:color w:val="27448B"/>
      <w:sz w:val="32"/>
      <w:szCs w:val="32"/>
    </w:rPr>
  </w:style>
  <w:style w:type="paragraph" w:customStyle="1" w:styleId="Indent">
    <w:name w:val="Indent"/>
    <w:basedOn w:val="Normal"/>
    <w:autoRedefine/>
    <w:rsid w:val="006133D7"/>
    <w:pPr>
      <w:tabs>
        <w:tab w:val="left" w:pos="360"/>
      </w:tabs>
      <w:suppressAutoHyphens/>
      <w:autoSpaceDE w:val="0"/>
      <w:autoSpaceDN w:val="0"/>
      <w:adjustRightInd w:val="0"/>
      <w:spacing w:before="120" w:line="240" w:lineRule="auto"/>
      <w:ind w:left="634" w:firstLine="0"/>
      <w:textAlignment w:val="center"/>
    </w:pPr>
    <w:rPr>
      <w:rFonts w:cs="Arial"/>
      <w:color w:val="000000"/>
    </w:rPr>
  </w:style>
  <w:style w:type="paragraph" w:customStyle="1" w:styleId="H2">
    <w:name w:val="H2"/>
    <w:basedOn w:val="Normal"/>
    <w:next w:val="Normal"/>
    <w:autoRedefine/>
    <w:qFormat/>
    <w:rsid w:val="006133D7"/>
    <w:pPr>
      <w:keepNext/>
      <w:widowControl w:val="0"/>
      <w:suppressAutoHyphens/>
      <w:autoSpaceDE w:val="0"/>
      <w:autoSpaceDN w:val="0"/>
      <w:adjustRightInd w:val="0"/>
      <w:spacing w:before="240" w:line="240" w:lineRule="auto"/>
      <w:ind w:left="0" w:firstLine="0"/>
      <w:textAlignment w:val="center"/>
    </w:pPr>
    <w:rPr>
      <w:rFonts w:cs="Arial"/>
      <w:b/>
      <w:bCs/>
      <w:color w:val="27448B"/>
      <w:sz w:val="28"/>
      <w:szCs w:val="28"/>
    </w:rPr>
  </w:style>
  <w:style w:type="paragraph" w:customStyle="1" w:styleId="TableHeadingsBlack">
    <w:name w:val="Table Headings Black"/>
    <w:basedOn w:val="Normal"/>
    <w:autoRedefine/>
    <w:rsid w:val="006133D7"/>
    <w:pPr>
      <w:tabs>
        <w:tab w:val="left" w:pos="360"/>
        <w:tab w:val="left" w:pos="720"/>
      </w:tabs>
      <w:spacing w:before="120"/>
      <w:ind w:left="0" w:firstLine="0"/>
    </w:pPr>
    <w:rPr>
      <w:b/>
      <w:color w:val="000000"/>
      <w:szCs w:val="20"/>
    </w:rPr>
  </w:style>
  <w:style w:type="paragraph" w:customStyle="1" w:styleId="Instructions">
    <w:name w:val="Instructions"/>
    <w:basedOn w:val="BodyText"/>
    <w:autoRedefine/>
    <w:qFormat/>
    <w:rsid w:val="006133D7"/>
    <w:pPr>
      <w:tabs>
        <w:tab w:val="left" w:pos="1620"/>
        <w:tab w:val="left" w:pos="4320"/>
        <w:tab w:val="left" w:pos="4680"/>
      </w:tabs>
      <w:spacing w:after="240"/>
    </w:pPr>
    <w:rPr>
      <w:i/>
      <w:color w:val="27448B"/>
      <w:szCs w:val="20"/>
    </w:rPr>
  </w:style>
  <w:style w:type="paragraph" w:styleId="BalloonText">
    <w:name w:val="Balloon Text"/>
    <w:basedOn w:val="Normal"/>
    <w:link w:val="BalloonTextChar"/>
    <w:uiPriority w:val="99"/>
    <w:semiHidden/>
    <w:unhideWhenUsed/>
    <w:rsid w:val="006133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33D7"/>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133D7"/>
    <w:pPr>
      <w:spacing w:after="120" w:line="240" w:lineRule="atLeast"/>
      <w:ind w:left="576" w:hanging="576"/>
    </w:pPr>
    <w:rPr>
      <w:rFonts w:ascii="Arial" w:eastAsia="Times New Roman" w:hAnsi="Arial"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6133D7"/>
    <w:pPr>
      <w:tabs>
        <w:tab w:val="left" w:pos="1080"/>
      </w:tabs>
      <w:suppressAutoHyphens/>
      <w:autoSpaceDE w:val="0"/>
      <w:autoSpaceDN w:val="0"/>
      <w:adjustRightInd w:val="0"/>
      <w:spacing w:before="120" w:line="240" w:lineRule="auto"/>
      <w:ind w:left="0" w:firstLine="0"/>
      <w:textAlignment w:val="center"/>
    </w:pPr>
    <w:rPr>
      <w:rFonts w:cs="Arial"/>
      <w:color w:val="000000"/>
    </w:rPr>
  </w:style>
  <w:style w:type="character" w:customStyle="1" w:styleId="BodyTextChar">
    <w:name w:val="Body Text Char"/>
    <w:basedOn w:val="DefaultParagraphFont"/>
    <w:link w:val="BodyText"/>
    <w:rsid w:val="006133D7"/>
    <w:rPr>
      <w:rFonts w:ascii="Arial" w:eastAsia="Times New Roman" w:hAnsi="Arial" w:cs="Arial"/>
      <w:color w:val="000000"/>
      <w:sz w:val="20"/>
    </w:rPr>
  </w:style>
  <w:style w:type="paragraph" w:customStyle="1" w:styleId="TableText">
    <w:name w:val="Table Text"/>
    <w:basedOn w:val="BodyText"/>
    <w:autoRedefine/>
    <w:qFormat/>
    <w:rsid w:val="006133D7"/>
    <w:pPr>
      <w:tabs>
        <w:tab w:val="clear" w:pos="1080"/>
      </w:tabs>
    </w:pPr>
    <w:rPr>
      <w:rFonts w:cs="Tahoma"/>
    </w:rPr>
  </w:style>
  <w:style w:type="paragraph" w:customStyle="1" w:styleId="ResourceNo">
    <w:name w:val="ResourceNo"/>
    <w:basedOn w:val="Normal"/>
    <w:next w:val="ResourceTitle"/>
    <w:link w:val="ResourceNoChar"/>
    <w:autoRedefine/>
    <w:qFormat/>
    <w:rsid w:val="006133D7"/>
    <w:pPr>
      <w:pageBreakBefore/>
      <w:widowControl w:val="0"/>
      <w:suppressAutoHyphens/>
      <w:autoSpaceDE w:val="0"/>
      <w:autoSpaceDN w:val="0"/>
      <w:adjustRightInd w:val="0"/>
      <w:spacing w:before="120" w:line="240" w:lineRule="auto"/>
      <w:jc w:val="center"/>
      <w:textAlignment w:val="center"/>
    </w:pPr>
    <w:rPr>
      <w:rFonts w:cs="AvenirLT-Heavy"/>
      <w:b/>
      <w:color w:val="27448B"/>
      <w:szCs w:val="44"/>
    </w:rPr>
  </w:style>
  <w:style w:type="character" w:customStyle="1" w:styleId="ResourceNoChar">
    <w:name w:val="ResourceNo Char"/>
    <w:basedOn w:val="DefaultParagraphFont"/>
    <w:link w:val="ResourceNo"/>
    <w:locked/>
    <w:rsid w:val="006133D7"/>
    <w:rPr>
      <w:rFonts w:ascii="Arial" w:eastAsia="Times New Roman" w:hAnsi="Arial" w:cs="AvenirLT-Heavy"/>
      <w:b/>
      <w:color w:val="27448B"/>
      <w:sz w:val="20"/>
      <w:szCs w:val="44"/>
    </w:rPr>
  </w:style>
  <w:style w:type="table" w:styleId="TableGrid">
    <w:name w:val="Table Grid"/>
    <w:basedOn w:val="TableNormal"/>
    <w:rsid w:val="006133D7"/>
    <w:pPr>
      <w:spacing w:after="120" w:line="240" w:lineRule="atLeas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sourceTitle">
    <w:name w:val="Resource Title"/>
    <w:basedOn w:val="Normal"/>
    <w:next w:val="BodyText"/>
    <w:autoRedefine/>
    <w:qFormat/>
    <w:rsid w:val="006133D7"/>
    <w:pPr>
      <w:widowControl w:val="0"/>
      <w:suppressAutoHyphens/>
      <w:autoSpaceDE w:val="0"/>
      <w:autoSpaceDN w:val="0"/>
      <w:adjustRightInd w:val="0"/>
      <w:spacing w:after="240" w:line="240" w:lineRule="auto"/>
      <w:ind w:left="0" w:firstLine="0"/>
      <w:jc w:val="center"/>
      <w:textAlignment w:val="center"/>
    </w:pPr>
    <w:rPr>
      <w:rFonts w:cs="AvenirLT-Heavy"/>
      <w:b/>
      <w:color w:val="27448B"/>
      <w:sz w:val="36"/>
      <w:szCs w:val="36"/>
    </w:rPr>
  </w:style>
  <w:style w:type="paragraph" w:customStyle="1" w:styleId="H1">
    <w:name w:val="H1"/>
    <w:basedOn w:val="Normal"/>
    <w:autoRedefine/>
    <w:qFormat/>
    <w:rsid w:val="006133D7"/>
    <w:pPr>
      <w:keepNext/>
      <w:widowControl w:val="0"/>
      <w:pBdr>
        <w:top w:val="single" w:sz="24" w:space="3" w:color="27448B"/>
      </w:pBdr>
      <w:suppressAutoHyphens/>
      <w:autoSpaceDE w:val="0"/>
      <w:autoSpaceDN w:val="0"/>
      <w:adjustRightInd w:val="0"/>
      <w:spacing w:before="240" w:line="240" w:lineRule="auto"/>
      <w:ind w:left="0" w:firstLine="0"/>
      <w:textAlignment w:val="center"/>
    </w:pPr>
    <w:rPr>
      <w:rFonts w:cs="AvenirLT-Heavy"/>
      <w:b/>
      <w:color w:val="27448B"/>
      <w:sz w:val="32"/>
      <w:szCs w:val="32"/>
    </w:rPr>
  </w:style>
  <w:style w:type="paragraph" w:customStyle="1" w:styleId="Indent">
    <w:name w:val="Indent"/>
    <w:basedOn w:val="Normal"/>
    <w:autoRedefine/>
    <w:rsid w:val="006133D7"/>
    <w:pPr>
      <w:tabs>
        <w:tab w:val="left" w:pos="360"/>
      </w:tabs>
      <w:suppressAutoHyphens/>
      <w:autoSpaceDE w:val="0"/>
      <w:autoSpaceDN w:val="0"/>
      <w:adjustRightInd w:val="0"/>
      <w:spacing w:before="120" w:line="240" w:lineRule="auto"/>
      <w:ind w:left="634" w:firstLine="0"/>
      <w:textAlignment w:val="center"/>
    </w:pPr>
    <w:rPr>
      <w:rFonts w:cs="Arial"/>
      <w:color w:val="000000"/>
    </w:rPr>
  </w:style>
  <w:style w:type="paragraph" w:customStyle="1" w:styleId="H2">
    <w:name w:val="H2"/>
    <w:basedOn w:val="Normal"/>
    <w:next w:val="Normal"/>
    <w:autoRedefine/>
    <w:qFormat/>
    <w:rsid w:val="006133D7"/>
    <w:pPr>
      <w:keepNext/>
      <w:widowControl w:val="0"/>
      <w:suppressAutoHyphens/>
      <w:autoSpaceDE w:val="0"/>
      <w:autoSpaceDN w:val="0"/>
      <w:adjustRightInd w:val="0"/>
      <w:spacing w:before="240" w:line="240" w:lineRule="auto"/>
      <w:ind w:left="0" w:firstLine="0"/>
      <w:textAlignment w:val="center"/>
    </w:pPr>
    <w:rPr>
      <w:rFonts w:cs="Arial"/>
      <w:b/>
      <w:bCs/>
      <w:color w:val="27448B"/>
      <w:sz w:val="28"/>
      <w:szCs w:val="28"/>
    </w:rPr>
  </w:style>
  <w:style w:type="paragraph" w:customStyle="1" w:styleId="TableHeadingsBlack">
    <w:name w:val="Table Headings Black"/>
    <w:basedOn w:val="Normal"/>
    <w:autoRedefine/>
    <w:rsid w:val="006133D7"/>
    <w:pPr>
      <w:tabs>
        <w:tab w:val="left" w:pos="360"/>
        <w:tab w:val="left" w:pos="720"/>
      </w:tabs>
      <w:spacing w:before="120"/>
      <w:ind w:left="0" w:firstLine="0"/>
    </w:pPr>
    <w:rPr>
      <w:b/>
      <w:color w:val="000000"/>
      <w:szCs w:val="20"/>
    </w:rPr>
  </w:style>
  <w:style w:type="paragraph" w:customStyle="1" w:styleId="Instructions">
    <w:name w:val="Instructions"/>
    <w:basedOn w:val="BodyText"/>
    <w:autoRedefine/>
    <w:qFormat/>
    <w:rsid w:val="006133D7"/>
    <w:pPr>
      <w:tabs>
        <w:tab w:val="left" w:pos="1620"/>
        <w:tab w:val="left" w:pos="4320"/>
        <w:tab w:val="left" w:pos="4680"/>
      </w:tabs>
      <w:spacing w:after="240"/>
    </w:pPr>
    <w:rPr>
      <w:i/>
      <w:color w:val="27448B"/>
      <w:szCs w:val="20"/>
    </w:rPr>
  </w:style>
  <w:style w:type="paragraph" w:styleId="BalloonText">
    <w:name w:val="Balloon Text"/>
    <w:basedOn w:val="Normal"/>
    <w:link w:val="BalloonTextChar"/>
    <w:uiPriority w:val="99"/>
    <w:semiHidden/>
    <w:unhideWhenUsed/>
    <w:rsid w:val="006133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33D7"/>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405</Words>
  <Characters>2315</Characters>
  <Application>Microsoft Macintosh Word</Application>
  <DocSecurity>0</DocSecurity>
  <Lines>19</Lines>
  <Paragraphs>5</Paragraphs>
  <ScaleCrop>false</ScaleCrop>
  <Company/>
  <LinksUpToDate>false</LinksUpToDate>
  <CharactersWithSpaces>2715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Chandler</dc:creator>
  <cp:keywords/>
  <dc:description/>
  <cp:lastModifiedBy>Karen Chandler</cp:lastModifiedBy>
  <cp:revision>1</cp:revision>
  <dcterms:created xsi:type="dcterms:W3CDTF">2015-07-22T18:46:00Z</dcterms:created>
  <dcterms:modified xsi:type="dcterms:W3CDTF">2015-07-22T18:46:00Z</dcterms:modified>
</cp:coreProperties>
</file>